
<file path=[Content_Types].xml><?xml version="1.0" encoding="utf-8"?>
<Types xmlns="http://schemas.openxmlformats.org/package/2006/content-types">
  <Default Extension="xml" ContentType="application/xml"/>
  <Default Extension="png" ContentType="image/png"/>
  <Default Extension="tiff" ContentType="image/tif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F33874">
      <w:pPr>
        <w:ind w:left="8080"/>
        <w:rPr>
          <w:rFonts w:hint="eastAsia" w:ascii="黑体" w:hAnsi="黑体" w:eastAsia="黑体"/>
          <w:sz w:val="52"/>
          <w:szCs w:val="20"/>
        </w:rPr>
      </w:pPr>
      <w:r>
        <w:rPr>
          <w:rFonts w:hint="eastAsia"/>
        </w:rPr>
        <mc:AlternateContent>
          <mc:Choice Requires="wps">
            <w:drawing>
              <wp:anchor distT="0" distB="0" distL="114300" distR="114300" simplePos="0" relativeHeight="251665408" behindDoc="0" locked="0" layoutInCell="1" allowOverlap="0">
                <wp:simplePos x="0" y="0"/>
                <wp:positionH relativeFrom="page">
                  <wp:posOffset>900430</wp:posOffset>
                </wp:positionH>
                <wp:positionV relativeFrom="page">
                  <wp:posOffset>2700020</wp:posOffset>
                </wp:positionV>
                <wp:extent cx="6120130" cy="0"/>
                <wp:effectExtent l="0" t="0" r="0" b="0"/>
                <wp:wrapNone/>
                <wp:docPr id="78470916" name="直接连接符 3"/>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line">
                          <a:avLst/>
                        </a:prstGeom>
                        <a:noFill/>
                        <a:ln w="9525">
                          <a:solidFill>
                            <a:srgbClr val="000000"/>
                          </a:solidFill>
                          <a:round/>
                        </a:ln>
                      </wps:spPr>
                      <wps:bodyPr/>
                    </wps:wsp>
                  </a:graphicData>
                </a:graphic>
              </wp:anchor>
            </w:drawing>
          </mc:Choice>
          <mc:Fallback>
            <w:pict>
              <v:line id="直接连接符 3" o:spid="_x0000_s1026" o:spt="20" style="position:absolute;left:0pt;margin-left:70.9pt;margin-top:212.6pt;height:0pt;width:481.9pt;mso-position-horizontal-relative:page;mso-position-vertical-relative:page;z-index:251665408;mso-width-relative:page;mso-height-relative:page;" filled="f" stroked="t" coordsize="21600,21600" o:allowoverlap="f" o:gfxdata="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Cd&#10;/iPM2AAAAAwBAAAPAAAAAAAAAAEAIAAAACIAAABkcnMvZG93bnJldi54bWxQSwECFAAUAAAACACH&#10;TuJAcBi1GOsBAACxAwAADgAAAAAAAAABACAAAAAnAQAAZHJzL2Uyb0RvYy54bWxQSwUGAAAAAAYA&#10;BgBZAQAAhAUAAAAA&#10;">
                <v:fill on="f" focussize="0,0"/>
                <v:stroke color="#000000" joinstyle="round"/>
                <v:imagedata o:title=""/>
                <o:lock v:ext="edit" aspectratio="f"/>
              </v:line>
            </w:pict>
          </mc:Fallback>
        </mc:AlternateContent>
      </w:r>
      <w:r>
        <w:rPr>
          <w:rFonts w:ascii="黑体" w:hAnsi="黑体" w:eastAsia="黑体"/>
          <w:sz w:val="52"/>
          <w:szCs w:val="20"/>
        </w:rPr>
        <w:drawing>
          <wp:anchor distT="0" distB="0" distL="114300" distR="114300" simplePos="0" relativeHeight="251663360" behindDoc="0" locked="0" layoutInCell="1" allowOverlap="0">
            <wp:simplePos x="0" y="0"/>
            <wp:positionH relativeFrom="page">
              <wp:posOffset>5004435</wp:posOffset>
            </wp:positionH>
            <wp:positionV relativeFrom="page">
              <wp:posOffset>466725</wp:posOffset>
            </wp:positionV>
            <wp:extent cx="1447165" cy="732790"/>
            <wp:effectExtent l="0" t="0" r="635" b="0"/>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1447200" cy="732960"/>
                    </a:xfrm>
                    <a:prstGeom prst="rect">
                      <a:avLst/>
                    </a:prstGeom>
                    <a:noFill/>
                    <a:ln>
                      <a:noFill/>
                    </a:ln>
                  </pic:spPr>
                </pic:pic>
              </a:graphicData>
            </a:graphic>
          </wp:anchor>
        </w:drawing>
      </w:r>
    </w:p>
    <w:p w14:paraId="65C97C60">
      <w:pPr>
        <w:pStyle w:val="83"/>
        <w:framePr w:w="9639" w:h="6976" w:hRule="exact" w:hSpace="0" w:vSpace="0" w:wrap="around" w:hAnchor="page" w:y="6408"/>
        <w:jc w:val="center"/>
        <w:rPr>
          <w:rFonts w:hint="eastAsia" w:ascii="黑体" w:hAnsi="黑体" w:eastAsia="黑体"/>
          <w:b w:val="0"/>
          <w:bCs w:val="0"/>
          <w:w w:val="100"/>
        </w:rPr>
      </w:pPr>
    </w:p>
    <w:p w14:paraId="7DB55E97">
      <w:pPr>
        <w:pStyle w:val="87"/>
        <w:framePr w:h="6974" w:hRule="exact" w:wrap="around" w:x="1419" w:anchorLock="1"/>
        <w:rPr>
          <w:rFonts w:hint="eastAsia"/>
        </w:rPr>
      </w:pPr>
      <w:bookmarkStart w:id="122" w:name="_GoBack"/>
      <w:r>
        <w:fldChar w:fldCharType="begin">
          <w:ffData>
            <w:name w:val="CSTD_NAME"/>
            <w:enabled/>
            <w:calcOnExit w:val="0"/>
            <w:textInput>
              <w:default w:val="点击此处添加标准名称"/>
            </w:textInput>
          </w:ffData>
        </w:fldChar>
      </w:r>
      <w:bookmarkStart w:id="0" w:name="CSTD_NAME"/>
      <w:r>
        <w:instrText xml:space="preserve"> FORMTEXT </w:instrText>
      </w:r>
      <w:r>
        <w:fldChar w:fldCharType="separate"/>
      </w:r>
      <w:r>
        <w:rPr>
          <w:rFonts w:hint="eastAsia"/>
        </w:rPr>
        <w:t>食品低温配送中心规划设计指南</w:t>
      </w:r>
      <w:r>
        <w:fldChar w:fldCharType="end"/>
      </w:r>
      <w:bookmarkEnd w:id="122"/>
      <w:bookmarkEnd w:id="0"/>
    </w:p>
    <w:p w14:paraId="31FAC064">
      <w:pPr>
        <w:framePr w:w="9639" w:h="6974" w:hRule="exact" w:wrap="around" w:vAnchor="page" w:hAnchor="page" w:x="1419" w:y="6408" w:anchorLock="1"/>
        <w:ind w:left="-1418"/>
      </w:pPr>
    </w:p>
    <w:p w14:paraId="7BB387C7">
      <w:pPr>
        <w:pStyle w:val="84"/>
        <w:framePr w:w="9639" w:h="6974" w:hRule="exact" w:wrap="around" w:vAnchor="page" w:hAnchor="page" w:x="1419" w:y="6408" w:anchorLock="1"/>
        <w:textAlignment w:val="bottom"/>
        <w:rPr>
          <w:rFonts w:hint="eastAsia" w:ascii="黑体" w:hAnsi="黑体" w:eastAsia="黑体"/>
          <w:szCs w:val="28"/>
        </w:rPr>
      </w:pPr>
      <w:r>
        <w:rPr>
          <w:rFonts w:eastAsia="黑体"/>
          <w:szCs w:val="28"/>
        </w:rPr>
        <w:fldChar w:fldCharType="begin">
          <w:ffData>
            <w:name w:val="ESTD_NAME"/>
            <w:enabled/>
            <w:calcOnExit w:val="0"/>
            <w:textInput>
              <w:default w:val="Guidelines for planning and design of food low temperature distribution center"/>
            </w:textInput>
          </w:ffData>
        </w:fldChar>
      </w:r>
      <w:bookmarkStart w:id="1" w:name="ESTD_NAME"/>
      <w:r>
        <w:rPr>
          <w:rFonts w:eastAsia="黑体"/>
          <w:szCs w:val="28"/>
        </w:rPr>
        <w:instrText xml:space="preserve"> FORMTEXT </w:instrText>
      </w:r>
      <w:r>
        <w:rPr>
          <w:rFonts w:eastAsia="黑体"/>
          <w:szCs w:val="28"/>
        </w:rPr>
        <w:fldChar w:fldCharType="separate"/>
      </w:r>
      <w:r>
        <w:rPr>
          <w:rFonts w:eastAsia="黑体"/>
          <w:szCs w:val="28"/>
        </w:rPr>
        <w:t>Guidelines for planning and design of food low temperature distribution center</w:t>
      </w:r>
      <w:r>
        <w:rPr>
          <w:rFonts w:eastAsia="黑体"/>
          <w:szCs w:val="28"/>
        </w:rPr>
        <w:fldChar w:fldCharType="end"/>
      </w:r>
      <w:bookmarkEnd w:id="1"/>
    </w:p>
    <w:p w14:paraId="316CDA20">
      <w:pPr>
        <w:framePr w:w="9639" w:h="6974" w:hRule="exact" w:wrap="around" w:vAnchor="page" w:hAnchor="page" w:x="1419" w:y="6408" w:anchorLock="1"/>
        <w:spacing w:line="760" w:lineRule="exact"/>
        <w:ind w:left="-1418"/>
        <w:rPr>
          <w:lang w:val="en-US"/>
        </w:rPr>
      </w:pPr>
    </w:p>
    <w:p w14:paraId="37F8C8C7">
      <w:pPr>
        <w:pStyle w:val="84"/>
        <w:framePr w:w="9639" w:h="6974" w:hRule="exact" w:wrap="around" w:vAnchor="page" w:hAnchor="page" w:x="1419" w:y="6408" w:anchorLock="1"/>
        <w:textAlignment w:val="bottom"/>
        <w:rPr>
          <w:rFonts w:eastAsia="黑体"/>
          <w:szCs w:val="28"/>
        </w:rPr>
      </w:pPr>
      <w:r>
        <w:rPr>
          <w:rFonts w:eastAsia="黑体"/>
          <w:szCs w:val="28"/>
        </w:rPr>
        <w:fldChar w:fldCharType="begin">
          <w:ffData>
            <w:name w:val="IN_STD_CODE"/>
            <w:enabled/>
            <w:calcOnExit w:val="0"/>
            <w:textInput>
              <w:default w:val="(点击此处添加与国际标准一致性程度的标识)"/>
            </w:textInput>
          </w:ffData>
        </w:fldChar>
      </w:r>
      <w:bookmarkStart w:id="2" w:name="IN_STD_CODE"/>
      <w:r>
        <w:rPr>
          <w:rFonts w:eastAsia="黑体"/>
          <w:szCs w:val="28"/>
        </w:rPr>
        <w:instrText xml:space="preserve"> FORMTEXT </w:instrText>
      </w:r>
      <w:r>
        <w:rPr>
          <w:rFonts w:eastAsia="黑体"/>
          <w:szCs w:val="28"/>
        </w:rPr>
        <w:fldChar w:fldCharType="separate"/>
      </w:r>
      <w:r>
        <w:rPr>
          <w:rFonts w:hint="eastAsia" w:eastAsia="黑体"/>
          <w:szCs w:val="28"/>
        </w:rPr>
        <w:t>(点击此处添加与国际标准一致性程度的标识)</w:t>
      </w:r>
      <w:r>
        <w:rPr>
          <w:rFonts w:eastAsia="黑体"/>
          <w:szCs w:val="28"/>
        </w:rPr>
        <w:fldChar w:fldCharType="end"/>
      </w:r>
      <w:bookmarkEnd w:id="2"/>
    </w:p>
    <w:p w14:paraId="5E3B5B40">
      <w:pPr>
        <w:pStyle w:val="84"/>
        <w:framePr w:w="9639" w:h="6974" w:hRule="exact" w:wrap="around" w:vAnchor="page" w:hAnchor="page" w:x="1419" w:y="6408" w:anchorLock="1"/>
        <w:spacing w:before="440" w:after="160"/>
        <w:textAlignment w:val="bottom"/>
        <w:rPr>
          <w:color w:val="000000" w:themeColor="text1"/>
          <w:sz w:val="24"/>
          <w:szCs w:val="28"/>
          <w:lang w:val="fr-FR"/>
          <w14:textFill>
            <w14:solidFill>
              <w14:schemeClr w14:val="tx1"/>
            </w14:solidFill>
          </w14:textFill>
        </w:rPr>
      </w:pPr>
      <w:r>
        <w:rPr>
          <w:rFonts w:hint="eastAsia"/>
          <w:color w:val="000000" w:themeColor="text1"/>
          <w:sz w:val="24"/>
          <w:szCs w:val="28"/>
          <w:lang w:val="fr-FR"/>
          <w14:textFill>
            <w14:solidFill>
              <w14:schemeClr w14:val="tx1"/>
            </w14:solidFill>
          </w14:textFill>
        </w:rPr>
        <w:t>（</w:t>
      </w:r>
      <w:r>
        <w:rPr>
          <w:rFonts w:hint="eastAsia"/>
          <w:color w:val="000000" w:themeColor="text1"/>
          <w:sz w:val="24"/>
          <w:szCs w:val="28"/>
          <w14:textFill>
            <w14:solidFill>
              <w14:schemeClr w14:val="tx1"/>
            </w14:solidFill>
          </w14:textFill>
        </w:rPr>
        <w:t>征求意见稿</w:t>
      </w:r>
      <w:r>
        <w:rPr>
          <w:rFonts w:hint="eastAsia"/>
          <w:color w:val="000000" w:themeColor="text1"/>
          <w:sz w:val="24"/>
          <w:szCs w:val="28"/>
          <w:lang w:val="fr-FR"/>
          <w14:textFill>
            <w14:solidFill>
              <w14:schemeClr w14:val="tx1"/>
            </w14:solidFill>
          </w14:textFill>
        </w:rPr>
        <w:t>）</w:t>
      </w:r>
    </w:p>
    <w:p w14:paraId="262881BD">
      <w:pPr>
        <w:pStyle w:val="84"/>
        <w:framePr w:w="9639" w:h="6974" w:hRule="exact" w:wrap="around" w:vAnchor="page" w:hAnchor="page" w:x="1419" w:y="6408" w:anchorLock="1"/>
        <w:spacing w:before="180" w:line="240" w:lineRule="atLeast"/>
        <w:textAlignment w:val="bottom"/>
        <w:rPr>
          <w:sz w:val="21"/>
          <w:szCs w:val="28"/>
        </w:rPr>
      </w:pPr>
      <w:r>
        <w:rPr>
          <w:rFonts w:hint="eastAsia"/>
          <w:sz w:val="21"/>
          <w:szCs w:val="28"/>
        </w:rPr>
        <w:t>本稿完成时间：2026年</w:t>
      </w:r>
      <w:r>
        <w:rPr>
          <w:rFonts w:hint="eastAsia"/>
          <w:sz w:val="21"/>
          <w:szCs w:val="28"/>
          <w:lang w:val="en-US" w:eastAsia="zh-CN"/>
        </w:rPr>
        <w:t>9</w:t>
      </w:r>
      <w:r>
        <w:rPr>
          <w:rFonts w:hint="eastAsia"/>
          <w:sz w:val="21"/>
          <w:szCs w:val="28"/>
        </w:rPr>
        <w:t>月</w:t>
      </w:r>
      <w:r>
        <w:rPr>
          <w:rFonts w:hint="eastAsia"/>
          <w:sz w:val="21"/>
          <w:szCs w:val="28"/>
          <w:lang w:val="en-US" w:eastAsia="zh-CN"/>
        </w:rPr>
        <w:t>29</w:t>
      </w:r>
      <w:r>
        <w:rPr>
          <w:rFonts w:hint="eastAsia"/>
          <w:sz w:val="21"/>
          <w:szCs w:val="28"/>
        </w:rPr>
        <w:t>日</w:t>
      </w:r>
    </w:p>
    <w:p w14:paraId="7B06012E">
      <w:pPr>
        <w:pStyle w:val="84"/>
        <w:framePr w:w="9639" w:h="6974" w:hRule="exact" w:wrap="around" w:vAnchor="page" w:hAnchor="page" w:x="1419" w:y="6408" w:anchorLock="1"/>
        <w:spacing w:before="720" w:beforeLines="300" w:after="72" w:afterLines="30" w:line="240" w:lineRule="auto"/>
        <w:textAlignment w:val="bottom"/>
        <w:rPr>
          <w:b/>
          <w:sz w:val="21"/>
          <w:szCs w:val="28"/>
        </w:rPr>
      </w:pPr>
      <w:r>
        <w:rPr>
          <w:b/>
          <w:sz w:val="21"/>
          <w:szCs w:val="28"/>
        </w:rPr>
        <w:fldChar w:fldCharType="begin">
          <w:ffData>
            <w:name w:val="下拉2"/>
            <w:enabled/>
            <w:calcOnExit w:val="0"/>
            <w:ddList>
              <w:result w:val="1"/>
              <w:listEntry w:val=" "/>
              <w:listEntry w:val="在提交反馈意见时，请将您知道的相关专利连同支持性文件一并附上。"/>
            </w:ddList>
          </w:ffData>
        </w:fldChar>
      </w:r>
      <w:bookmarkStart w:id="3" w:name="下拉2"/>
      <w:r>
        <w:rPr>
          <w:b/>
          <w:sz w:val="21"/>
          <w:szCs w:val="28"/>
        </w:rPr>
        <w:instrText xml:space="preserve"> FORMDROPDOWN </w:instrText>
      </w:r>
      <w:r>
        <w:rPr>
          <w:b/>
          <w:sz w:val="21"/>
          <w:szCs w:val="28"/>
        </w:rPr>
        <w:fldChar w:fldCharType="separate"/>
      </w:r>
      <w:r>
        <w:rPr>
          <w:b/>
          <w:sz w:val="21"/>
          <w:szCs w:val="28"/>
        </w:rPr>
        <w:fldChar w:fldCharType="end"/>
      </w:r>
      <w:bookmarkEnd w:id="3"/>
    </w:p>
    <w:p w14:paraId="30683387">
      <w:pPr>
        <w:pStyle w:val="85"/>
        <w:framePr w:wrap="around" w:y="14176"/>
      </w:pPr>
      <w:r>
        <w:rPr>
          <w:rFonts w:ascii="黑体"/>
        </w:rPr>
        <w:fldChar w:fldCharType="begin">
          <w:ffData>
            <w:name w:val="PLSH_DATE_Y"/>
            <w:enabled/>
            <w:calcOnExit w:val="0"/>
            <w:textInput>
              <w:default w:val="XXXX"/>
              <w:maxLength w:val="4"/>
            </w:textInput>
          </w:ffData>
        </w:fldChar>
      </w:r>
      <w:bookmarkStart w:id="4" w:name="PLSH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4"/>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5" w:name="PLSH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5"/>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6" w:name="PLSH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6"/>
      <w:r>
        <w:rPr>
          <w:rFonts w:hint="eastAsia"/>
        </w:rPr>
        <w:t>发布</w:t>
      </w:r>
    </w:p>
    <w:p w14:paraId="288D9896">
      <w:pPr>
        <w:pStyle w:val="86"/>
        <w:framePr w:wrap="around" w:y="14176"/>
      </w:pPr>
      <w:r>
        <w:rPr>
          <w:rFonts w:ascii="黑体"/>
        </w:rPr>
        <w:fldChar w:fldCharType="begin">
          <w:ffData>
            <w:name w:val="CROT_DATE_Y"/>
            <w:enabled/>
            <w:calcOnExit w:val="0"/>
            <w:textInput>
              <w:default w:val="XXXX"/>
              <w:maxLength w:val="4"/>
            </w:textInput>
          </w:ffData>
        </w:fldChar>
      </w:r>
      <w:bookmarkStart w:id="7" w:name="CROT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7"/>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8" w:name="CROT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8"/>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9" w:name="CROT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9"/>
      <w:r>
        <w:rPr>
          <w:rFonts w:hint="eastAsia"/>
        </w:rPr>
        <w:t>实施</w:t>
      </w:r>
    </w:p>
    <w:tbl>
      <w:tblPr>
        <w:tblStyle w:val="14"/>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509"/>
        <w:gridCol w:w="8845"/>
      </w:tblGrid>
      <w:tr w14:paraId="44E20E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5B238476">
            <w:pPr>
              <w:pStyle w:val="8"/>
              <w:widowControl/>
              <w:tabs>
                <w:tab w:val="clear" w:pos="4153"/>
                <w:tab w:val="clear" w:pos="8306"/>
              </w:tabs>
              <w:jc w:val="left"/>
              <w:rPr>
                <w:rFonts w:hint="eastAsia" w:ascii="黑体" w:hAnsi="黑体" w:eastAsia="黑体"/>
                <w:sz w:val="21"/>
                <w:szCs w:val="21"/>
                <w:lang w:val="en-US" w:bidi="ar-SA"/>
              </w:rPr>
            </w:pPr>
            <w:r>
              <w:rPr>
                <w:rFonts w:ascii="Calibri" w:hAnsi="Calibri" w:eastAsia="黑体"/>
                <w:sz w:val="21"/>
                <w:szCs w:val="21"/>
                <w:lang w:val="en-US" w:bidi="ar-SA"/>
              </w:rPr>
              <w:t>ICS</w:t>
            </w:r>
            <w:r>
              <w:rPr>
                <w:rFonts w:ascii="黑体" w:hAnsi="黑体" w:eastAsia="黑体"/>
                <w:sz w:val="21"/>
                <w:szCs w:val="21"/>
                <w:lang w:val="en-US" w:bidi="ar-SA"/>
              </w:rPr>
              <w:t xml:space="preserve">  </w:t>
            </w:r>
          </w:p>
        </w:tc>
        <w:tc>
          <w:tcPr>
            <w:tcW w:w="8845" w:type="dxa"/>
          </w:tcPr>
          <w:p w14:paraId="7C9D9820">
            <w:pPr>
              <w:pStyle w:val="8"/>
              <w:widowControl/>
              <w:tabs>
                <w:tab w:val="clear" w:pos="4153"/>
                <w:tab w:val="clear" w:pos="8306"/>
              </w:tabs>
              <w:ind w:left="3"/>
              <w:jc w:val="both"/>
              <w:rPr>
                <w:rFonts w:hint="eastAsia" w:ascii="黑体" w:hAnsi="黑体" w:eastAsia="黑体"/>
                <w:sz w:val="21"/>
                <w:szCs w:val="21"/>
                <w:lang w:val="en-US" w:bidi="ar-SA"/>
              </w:rPr>
            </w:pPr>
            <w:r>
              <w:rPr>
                <w:rFonts w:ascii="黑体" w:hAnsi="黑体" w:eastAsia="黑体"/>
                <w:sz w:val="21"/>
                <w:szCs w:val="21"/>
                <w:lang w:val="en-US" w:bidi="ar-SA"/>
              </w:rPr>
              <w:fldChar w:fldCharType="begin">
                <w:ffData>
                  <w:name w:val="ICS"/>
                  <w:enabled/>
                  <w:calcOnExit w:val="0"/>
                  <w:textInput>
                    <w:default w:val="点击此处添加ICS号"/>
                  </w:textInput>
                </w:ffData>
              </w:fldChar>
            </w:r>
            <w:bookmarkStart w:id="10" w:name="ICS"/>
            <w:r>
              <w:rPr>
                <w:rFonts w:ascii="黑体" w:hAnsi="黑体" w:eastAsia="黑体"/>
                <w:sz w:val="21"/>
                <w:szCs w:val="21"/>
                <w:lang w:val="en-US" w:bidi="ar-SA"/>
              </w:rPr>
              <w:instrText xml:space="preserve"> FORMTEXT </w:instrText>
            </w:r>
            <w:r>
              <w:rPr>
                <w:rFonts w:ascii="黑体" w:hAnsi="黑体" w:eastAsia="黑体"/>
                <w:sz w:val="21"/>
                <w:szCs w:val="21"/>
                <w:lang w:val="en-US" w:bidi="ar-SA"/>
              </w:rPr>
              <w:fldChar w:fldCharType="separate"/>
            </w:r>
            <w:r>
              <w:rPr>
                <w:rFonts w:hint="eastAsia" w:ascii="黑体" w:hAnsi="黑体" w:eastAsia="黑体"/>
                <w:sz w:val="21"/>
                <w:szCs w:val="21"/>
                <w:lang w:val="en-US" w:bidi="ar-SA"/>
              </w:rPr>
              <w:t>91.010.01</w:t>
            </w:r>
            <w:r>
              <w:rPr>
                <w:rFonts w:ascii="黑体" w:hAnsi="黑体" w:eastAsia="黑体"/>
                <w:sz w:val="21"/>
                <w:szCs w:val="21"/>
                <w:lang w:val="en-US" w:bidi="ar-SA"/>
              </w:rPr>
              <w:fldChar w:fldCharType="end"/>
            </w:r>
            <w:bookmarkEnd w:id="10"/>
          </w:p>
        </w:tc>
      </w:tr>
      <w:tr w14:paraId="1D27D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2F437BF9">
            <w:pPr>
              <w:pStyle w:val="8"/>
              <w:widowControl/>
              <w:tabs>
                <w:tab w:val="clear" w:pos="4153"/>
                <w:tab w:val="clear" w:pos="8306"/>
              </w:tabs>
              <w:spacing w:before="40"/>
              <w:jc w:val="left"/>
              <w:rPr>
                <w:rFonts w:hint="eastAsia" w:ascii="黑体" w:hAnsi="黑体" w:eastAsia="黑体"/>
                <w:sz w:val="21"/>
                <w:szCs w:val="21"/>
                <w:lang w:val="en-US" w:bidi="ar-SA"/>
              </w:rPr>
            </w:pPr>
            <w:r>
              <w:rPr>
                <w:rFonts w:ascii="Calibri" w:hAnsi="Calibri" w:eastAsia="黑体"/>
                <w:sz w:val="21"/>
                <w:szCs w:val="21"/>
                <w:lang w:val="en-US" w:bidi="ar-SA"/>
              </w:rPr>
              <w:t xml:space="preserve">CCS </w:t>
            </w:r>
            <w:r>
              <w:rPr>
                <w:rFonts w:ascii="黑体" w:hAnsi="黑体" w:eastAsia="黑体"/>
                <w:sz w:val="21"/>
                <w:szCs w:val="21"/>
                <w:lang w:val="en-US" w:bidi="ar-SA"/>
              </w:rPr>
              <w:t xml:space="preserve"> </w:t>
            </w:r>
          </w:p>
        </w:tc>
        <w:tc>
          <w:tcPr>
            <w:tcW w:w="8845" w:type="dxa"/>
          </w:tcPr>
          <w:p w14:paraId="4AF7BD59">
            <w:pPr>
              <w:pStyle w:val="8"/>
              <w:widowControl/>
              <w:tabs>
                <w:tab w:val="clear" w:pos="4153"/>
                <w:tab w:val="clear" w:pos="8306"/>
              </w:tabs>
              <w:spacing w:before="40"/>
              <w:jc w:val="left"/>
              <w:rPr>
                <w:rFonts w:hint="eastAsia" w:ascii="黑体" w:hAnsi="黑体" w:eastAsia="黑体"/>
                <w:sz w:val="21"/>
                <w:szCs w:val="21"/>
                <w:lang w:val="en-US" w:bidi="ar-SA"/>
              </w:rPr>
            </w:pPr>
            <w:r>
              <w:rPr>
                <w:rFonts w:ascii="黑体" w:hAnsi="黑体" w:eastAsia="黑体"/>
                <w:sz w:val="21"/>
                <w:szCs w:val="21"/>
                <w:lang w:val="en-US" w:bidi="ar-SA"/>
              </w:rPr>
              <w:fldChar w:fldCharType="begin">
                <w:ffData>
                  <w:name w:val="CSDN"/>
                  <w:enabled/>
                  <w:calcOnExit w:val="0"/>
                  <w:textInput>
                    <w:default w:val="点击此处添加CCS号"/>
                  </w:textInput>
                </w:ffData>
              </w:fldChar>
            </w:r>
            <w:bookmarkStart w:id="11" w:name="CSDN"/>
            <w:r>
              <w:rPr>
                <w:rFonts w:ascii="黑体" w:hAnsi="黑体" w:eastAsia="黑体"/>
                <w:sz w:val="21"/>
                <w:szCs w:val="21"/>
                <w:lang w:val="en-US" w:bidi="ar-SA"/>
              </w:rPr>
              <w:instrText xml:space="preserve"> FORMTEXT </w:instrText>
            </w:r>
            <w:r>
              <w:rPr>
                <w:rFonts w:ascii="黑体" w:hAnsi="黑体" w:eastAsia="黑体"/>
                <w:sz w:val="21"/>
                <w:szCs w:val="21"/>
                <w:lang w:val="en-US" w:bidi="ar-SA"/>
              </w:rPr>
              <w:fldChar w:fldCharType="separate"/>
            </w:r>
            <w:r>
              <w:rPr>
                <w:rFonts w:hint="eastAsia" w:ascii="黑体" w:hAnsi="黑体" w:eastAsia="黑体"/>
                <w:sz w:val="21"/>
                <w:szCs w:val="21"/>
                <w:lang w:val="en-US" w:bidi="ar-SA"/>
              </w:rPr>
              <w:t>P 00</w:t>
            </w:r>
            <w:r>
              <w:rPr>
                <w:rFonts w:ascii="黑体" w:hAnsi="黑体" w:eastAsia="黑体"/>
                <w:sz w:val="21"/>
                <w:szCs w:val="21"/>
                <w:lang w:val="en-US" w:bidi="ar-SA"/>
              </w:rPr>
              <w:fldChar w:fldCharType="end"/>
            </w:r>
            <w:bookmarkEnd w:id="11"/>
          </w:p>
        </w:tc>
      </w:tr>
    </w:tbl>
    <w:p w14:paraId="1CF6FC55">
      <w:pPr>
        <w:pStyle w:val="83"/>
        <w:framePr w:w="9639" w:h="624" w:hRule="exact" w:hSpace="181" w:vSpace="181" w:wrap="around" w:hAnchor="page" w:x="1305" w:y="2269"/>
      </w:pPr>
      <w:bookmarkStart w:id="12" w:name="_Hlk26473981"/>
      <w:r>
        <w:rPr>
          <w:rFonts w:hint="eastAsia"/>
        </w:rPr>
        <w:t>中华人民共和国国家标准</w:t>
      </w:r>
    </w:p>
    <w:bookmarkEnd w:id="12"/>
    <w:p w14:paraId="4A3AFE74">
      <w:pPr>
        <w:pStyle w:val="88"/>
        <w:rPr>
          <w:lang w:val="fr-FR"/>
        </w:rPr>
      </w:pPr>
      <w:r>
        <w:fldChar w:fldCharType="begin">
          <w:ffData>
            <w:name w:val="文字1"/>
            <w:enabled/>
            <w:calcOnExit w:val="0"/>
            <w:textInput>
              <w:default w:val="GB/T"/>
            </w:textInput>
          </w:ffData>
        </w:fldChar>
      </w:r>
      <w:bookmarkStart w:id="13" w:name="文字1"/>
      <w:r>
        <w:rPr>
          <w:lang w:val="fr-FR"/>
        </w:rPr>
        <w:instrText xml:space="preserve"> FORMTEXT </w:instrText>
      </w:r>
      <w:r>
        <w:fldChar w:fldCharType="separate"/>
      </w:r>
      <w:r>
        <w:rPr>
          <w:lang w:val="fr-FR"/>
        </w:rPr>
        <w:t>GB/T</w:t>
      </w:r>
      <w:r>
        <w:fldChar w:fldCharType="end"/>
      </w:r>
      <w:bookmarkEnd w:id="13"/>
      <w:r>
        <w:rPr>
          <w:lang w:val="fr-FR"/>
        </w:rPr>
        <w:t xml:space="preserve"> </w:t>
      </w:r>
      <w:r>
        <w:fldChar w:fldCharType="begin">
          <w:ffData>
            <w:name w:val="NSTD_CODE_F"/>
            <w:enabled/>
            <w:calcOnExit w:val="0"/>
            <w:textInput>
              <w:default w:val="XXXXX"/>
            </w:textInput>
          </w:ffData>
        </w:fldChar>
      </w:r>
      <w:bookmarkStart w:id="14" w:name="NSTD_CODE_F"/>
      <w:r>
        <w:rPr>
          <w:lang w:val="fr-FR"/>
        </w:rPr>
        <w:instrText xml:space="preserve"> FORMTEXT </w:instrText>
      </w:r>
      <w:r>
        <w:fldChar w:fldCharType="separate"/>
      </w:r>
      <w:r>
        <w:t>XXXXX</w:t>
      </w:r>
      <w:r>
        <w:fldChar w:fldCharType="end"/>
      </w:r>
      <w:bookmarkEnd w:id="14"/>
      <w:r>
        <w:rPr>
          <w:rFonts w:hAnsi="黑体"/>
          <w:lang w:val="fr-FR"/>
        </w:rPr>
        <w:t>—</w:t>
      </w:r>
      <w:r>
        <w:fldChar w:fldCharType="begin">
          <w:ffData>
            <w:name w:val="NSTD_CODE_B"/>
            <w:enabled/>
            <w:calcOnExit w:val="0"/>
            <w:textInput>
              <w:default w:val="XXXX"/>
            </w:textInput>
          </w:ffData>
        </w:fldChar>
      </w:r>
      <w:bookmarkStart w:id="15" w:name="NSTD_CODE_B"/>
      <w:r>
        <w:rPr>
          <w:lang w:val="fr-FR"/>
        </w:rPr>
        <w:instrText xml:space="preserve"> FORMTEXT </w:instrText>
      </w:r>
      <w:r>
        <w:fldChar w:fldCharType="separate"/>
      </w:r>
      <w:r>
        <w:rPr>
          <w:lang w:val="fr-FR"/>
        </w:rPr>
        <w:t>XXXX</w:t>
      </w:r>
      <w:r>
        <w:fldChar w:fldCharType="end"/>
      </w:r>
      <w:bookmarkEnd w:id="15"/>
    </w:p>
    <w:p w14:paraId="54407D1C">
      <w:pPr>
        <w:pStyle w:val="89"/>
        <w:rPr>
          <w:rFonts w:hint="eastAsia" w:hAnsi="黑体"/>
        </w:rPr>
      </w:pPr>
      <w:r>
        <w:rPr>
          <w:rFonts w:hAnsi="黑体"/>
        </w:rPr>
        <w:fldChar w:fldCharType="begin">
          <w:ffData>
            <w:name w:val="OSTD_CODE"/>
            <w:enabled/>
            <w:calcOnExit w:val="0"/>
            <w:textInput/>
          </w:ffData>
        </w:fldChar>
      </w:r>
      <w:bookmarkStart w:id="16" w:name="OSTD_CODE"/>
      <w:r>
        <w:rPr>
          <w:rFonts w:hAnsi="黑体"/>
        </w:rPr>
        <w:instrText xml:space="preserve"> FORMTEXT </w:instrText>
      </w:r>
      <w:r>
        <w:rPr>
          <w:rFonts w:hAnsi="黑体"/>
        </w:rPr>
        <w:fldChar w:fldCharType="separate"/>
      </w:r>
      <w:r>
        <w:rPr>
          <w:rFonts w:hint="eastAsia" w:hAnsi="黑体"/>
        </w:rPr>
        <w:t>代替 GB/T 38375-2019</w:t>
      </w:r>
      <w:r>
        <w:rPr>
          <w:rFonts w:hAnsi="黑体"/>
        </w:rPr>
        <w:fldChar w:fldCharType="end"/>
      </w:r>
      <w:bookmarkEnd w:id="16"/>
    </w:p>
    <w:p w14:paraId="490C7443">
      <w:pPr>
        <w:rPr>
          <w:rFonts w:hint="eastAsia" w:ascii="宋体" w:hAnsi="宋体" w:eastAsiaTheme="minorEastAsia"/>
          <w:sz w:val="28"/>
          <w:szCs w:val="28"/>
        </w:rPr>
        <w:sectPr>
          <w:headerReference r:id="rId6" w:type="first"/>
          <w:footerReference r:id="rId8" w:type="first"/>
          <w:headerReference r:id="rId5" w:type="default"/>
          <w:footerReference r:id="rId7" w:type="even"/>
          <w:pgSz w:w="11906" w:h="16838"/>
          <w:pgMar w:top="-338" w:right="1134" w:bottom="1021" w:left="1134" w:header="0" w:footer="0" w:gutter="284"/>
          <w:cols w:space="425" w:num="1"/>
          <w:titlePg/>
          <w:docGrid w:linePitch="312" w:charSpace="0"/>
        </w:sectPr>
      </w:pPr>
      <w:r>
        <w:rPr>
          <w:rFonts w:hint="eastAsia" w:ascii="宋体" w:hAnsi="宋体"/>
          <w:sz w:val="28"/>
          <w:szCs w:val="28"/>
        </w:rPr>
        <w:drawing>
          <wp:anchor distT="0" distB="0" distL="114300" distR="114300" simplePos="0" relativeHeight="251664384" behindDoc="0" locked="0" layoutInCell="1" allowOverlap="1">
            <wp:simplePos x="0" y="0"/>
            <wp:positionH relativeFrom="column">
              <wp:posOffset>1610360</wp:posOffset>
            </wp:positionH>
            <wp:positionV relativeFrom="paragraph">
              <wp:posOffset>8281035</wp:posOffset>
            </wp:positionV>
            <wp:extent cx="2868930" cy="545465"/>
            <wp:effectExtent l="0" t="0" r="0" b="7620"/>
            <wp:wrapNone/>
            <wp:docPr id="781502030" name="图片 781502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502030" name="图片 781502030"/>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868840" cy="545400"/>
                    </a:xfrm>
                    <a:prstGeom prst="rect">
                      <a:avLst/>
                    </a:prstGeom>
                  </pic:spPr>
                </pic:pic>
              </a:graphicData>
            </a:graphic>
          </wp:anchor>
        </w:drawing>
      </w:r>
      <w:r>
        <w:rPr>
          <w:rFonts w:hint="eastAsia"/>
        </w:rPr>
        <mc:AlternateContent>
          <mc:Choice Requires="wps">
            <w:drawing>
              <wp:anchor distT="0" distB="0" distL="114300" distR="114300" simplePos="0" relativeHeight="251666432" behindDoc="0" locked="1" layoutInCell="1" allowOverlap="1">
                <wp:simplePos x="0" y="0"/>
                <wp:positionH relativeFrom="page">
                  <wp:posOffset>899795</wp:posOffset>
                </wp:positionH>
                <wp:positionV relativeFrom="page">
                  <wp:posOffset>9252585</wp:posOffset>
                </wp:positionV>
                <wp:extent cx="6120130" cy="0"/>
                <wp:effectExtent l="0" t="0" r="0" b="0"/>
                <wp:wrapNone/>
                <wp:docPr id="492190513" name="直接连接符 1"/>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line">
                          <a:avLst/>
                        </a:prstGeom>
                        <a:noFill/>
                        <a:ln w="9525">
                          <a:solidFill>
                            <a:srgbClr val="000000"/>
                          </a:solidFill>
                          <a:round/>
                        </a:ln>
                      </wps:spPr>
                      <wps:bodyPr/>
                    </wps:wsp>
                  </a:graphicData>
                </a:graphic>
              </wp:anchor>
            </w:drawing>
          </mc:Choice>
          <mc:Fallback>
            <w:pict>
              <v:line id="直接连接符 1" o:spid="_x0000_s1026" o:spt="20" style="position:absolute;left:0pt;margin-left:70.85pt;margin-top:728.55pt;height:0pt;width:481.9pt;mso-position-horizontal-relative:page;mso-position-vertical-relative:page;z-index:251666432;mso-width-relative:page;mso-height-relative:page;" filled="f" stroked="t" coordsize="21600,21600" o:gfxdata="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anR&#10;i9cAAAAOAQAADwAAAAAAAAABACAAAAAiAAAAZHJzL2Rvd25yZXYueG1sUEsBAhQAFAAAAAgAh07i&#10;QGodm8zqAQAAsgMAAA4AAAAAAAAAAQAgAAAAJgEAAGRycy9lMm9Eb2MueG1sUEsFBgAAAAAGAAYA&#10;WQEAAIIFAAAAAA==&#10;">
                <v:fill on="f" focussize="0,0"/>
                <v:stroke color="#000000" joinstyle="round"/>
                <v:imagedata o:title=""/>
                <o:lock v:ext="edit" aspectratio="f"/>
                <w10:anchorlock/>
              </v:line>
            </w:pict>
          </mc:Fallback>
        </mc:AlternateContent>
      </w:r>
    </w:p>
    <w:p w14:paraId="7DD5070D">
      <w:pPr>
        <w:pStyle w:val="47"/>
        <w:shd w:val="clear" w:color="auto" w:fill="auto"/>
        <w:spacing w:after="480" w:line="240" w:lineRule="auto"/>
        <w:jc w:val="center"/>
        <w:outlineLvl w:val="0"/>
        <w:rPr>
          <w:rFonts w:hint="eastAsia" w:ascii="黑体" w:hAnsi="黑体" w:eastAsia="黑体"/>
          <w:sz w:val="24"/>
          <w:szCs w:val="24"/>
        </w:rPr>
      </w:pPr>
      <w:bookmarkStart w:id="17" w:name="_Toc240808139"/>
      <w:r>
        <w:rPr>
          <w:rFonts w:hint="eastAsia" w:ascii="黑体" w:hAnsi="黑体" w:eastAsia="黑体"/>
          <w:sz w:val="24"/>
          <w:szCs w:val="24"/>
        </w:rPr>
        <w:t>前  言</w:t>
      </w:r>
      <w:bookmarkEnd w:id="17"/>
    </w:p>
    <w:p w14:paraId="707C8052">
      <w:pPr>
        <w:pStyle w:val="66"/>
        <w:spacing w:line="360" w:lineRule="exact"/>
        <w:ind w:firstLine="420"/>
      </w:pPr>
      <w:r>
        <w:rPr>
          <w:rFonts w:hint="eastAsia"/>
        </w:rPr>
        <w:t>本文件按照GB/T 1.1—2020《标准化工作导则  第1部分：标准化文件的结构和起草规则》的规定起草。</w:t>
      </w:r>
    </w:p>
    <w:p w14:paraId="7353BAB4">
      <w:pPr>
        <w:pStyle w:val="66"/>
        <w:spacing w:line="360" w:lineRule="exact"/>
        <w:ind w:firstLine="420"/>
      </w:pPr>
      <w:r>
        <w:rPr>
          <w:rFonts w:hint="eastAsia"/>
        </w:rPr>
        <w:t xml:space="preserve">本文件代替GB/T 38375—2019《食品低温配送中心规划设计指南》，与GB/T </w:t>
      </w:r>
      <w:bookmarkStart w:id="18" w:name="OLE_LINK10"/>
      <w:r>
        <w:rPr>
          <w:rFonts w:hint="eastAsia"/>
        </w:rPr>
        <w:t>38375—2019</w:t>
      </w:r>
      <w:bookmarkEnd w:id="18"/>
      <w:r>
        <w:rPr>
          <w:rFonts w:hint="eastAsia"/>
        </w:rPr>
        <w:t>相比，除结构调整和编辑性改动外，主要技术变化如下：</w:t>
      </w:r>
    </w:p>
    <w:p w14:paraId="6E2E8166">
      <w:pPr>
        <w:pStyle w:val="66"/>
        <w:spacing w:line="360" w:lineRule="exact"/>
        <w:ind w:firstLine="420"/>
        <w:rPr>
          <w:szCs w:val="21"/>
        </w:rPr>
      </w:pPr>
      <w:r>
        <w:rPr>
          <w:szCs w:val="21"/>
        </w:rPr>
        <w:t>——更改了“食品低温配送中心”的定义（见3.1，2019年版的3.1）；</w:t>
      </w:r>
    </w:p>
    <w:p w14:paraId="116BDF38">
      <w:pPr>
        <w:pStyle w:val="66"/>
        <w:spacing w:line="360" w:lineRule="exact"/>
        <w:ind w:firstLine="420"/>
        <w:rPr>
          <w:rFonts w:hint="eastAsia" w:eastAsia="宋体"/>
          <w:szCs w:val="21"/>
          <w:lang w:eastAsia="zh-CN"/>
        </w:rPr>
      </w:pPr>
      <w:r>
        <w:rPr>
          <w:szCs w:val="21"/>
        </w:rPr>
        <w:t>——删除了“站台登车桥”“装卸门密封罩”</w:t>
      </w:r>
      <w:r>
        <w:rPr>
          <w:rFonts w:hint="eastAsia"/>
          <w:szCs w:val="21"/>
        </w:rPr>
        <w:t>“封闭低温站台”</w:t>
      </w:r>
      <w:r>
        <w:rPr>
          <w:szCs w:val="21"/>
        </w:rPr>
        <w:t>和“流通加工”</w:t>
      </w:r>
      <w:r>
        <w:rPr>
          <w:rFonts w:hint="eastAsia"/>
          <w:szCs w:val="21"/>
        </w:rPr>
        <w:t>的</w:t>
      </w:r>
      <w:r>
        <w:rPr>
          <w:szCs w:val="21"/>
        </w:rPr>
        <w:t>术语与定义（见2019年版的3.2～3.5）</w:t>
      </w:r>
      <w:r>
        <w:rPr>
          <w:rFonts w:hint="eastAsia"/>
          <w:szCs w:val="21"/>
          <w:lang w:eastAsia="zh-CN"/>
        </w:rPr>
        <w:t>；</w:t>
      </w:r>
    </w:p>
    <w:p w14:paraId="0927298F">
      <w:pPr>
        <w:pStyle w:val="66"/>
        <w:spacing w:line="360" w:lineRule="exact"/>
        <w:ind w:firstLine="420"/>
        <w:rPr>
          <w:szCs w:val="21"/>
        </w:rPr>
      </w:pPr>
      <w:r>
        <w:rPr>
          <w:szCs w:val="21"/>
        </w:rPr>
        <w:t>——增加了“控温封闭站台”的术语与定义（见</w:t>
      </w:r>
      <w:r>
        <w:rPr>
          <w:rFonts w:hint="eastAsia"/>
          <w:szCs w:val="21"/>
        </w:rPr>
        <w:t>3.2</w:t>
      </w:r>
      <w:r>
        <w:rPr>
          <w:szCs w:val="21"/>
        </w:rPr>
        <w:t>）；</w:t>
      </w:r>
    </w:p>
    <w:p w14:paraId="3E71FE09">
      <w:pPr>
        <w:pStyle w:val="66"/>
        <w:spacing w:line="360" w:lineRule="exact"/>
        <w:ind w:firstLine="420"/>
        <w:rPr>
          <w:szCs w:val="21"/>
        </w:rPr>
      </w:pPr>
      <w:r>
        <w:rPr>
          <w:szCs w:val="21"/>
        </w:rPr>
        <w:t>——更改了总体原则</w:t>
      </w:r>
      <w:bookmarkStart w:id="19" w:name="_Hlk240813159"/>
      <w:r>
        <w:rPr>
          <w:szCs w:val="21"/>
        </w:rPr>
        <w:t>（见第4章，2019年版的第4章）</w:t>
      </w:r>
      <w:bookmarkEnd w:id="19"/>
      <w:r>
        <w:rPr>
          <w:szCs w:val="21"/>
        </w:rPr>
        <w:t>；</w:t>
      </w:r>
    </w:p>
    <w:p w14:paraId="362B63C1">
      <w:pPr>
        <w:pStyle w:val="66"/>
        <w:spacing w:line="360" w:lineRule="exact"/>
        <w:ind w:firstLine="420"/>
        <w:rPr>
          <w:szCs w:val="21"/>
        </w:rPr>
      </w:pPr>
      <w:r>
        <w:rPr>
          <w:szCs w:val="21"/>
        </w:rPr>
        <w:t>——</w:t>
      </w:r>
      <w:r>
        <w:rPr>
          <w:rFonts w:hint="eastAsia"/>
          <w:szCs w:val="21"/>
        </w:rPr>
        <w:t>更改</w:t>
      </w:r>
      <w:r>
        <w:rPr>
          <w:szCs w:val="21"/>
        </w:rPr>
        <w:t>了规划设计</w:t>
      </w:r>
      <w:r>
        <w:rPr>
          <w:rFonts w:hint="eastAsia"/>
          <w:szCs w:val="21"/>
        </w:rPr>
        <w:t>的相关内容</w:t>
      </w:r>
      <w:bookmarkStart w:id="20" w:name="_Hlk240813175"/>
      <w:r>
        <w:rPr>
          <w:szCs w:val="21"/>
        </w:rPr>
        <w:t>（见第5章，2019年版的第5章）</w:t>
      </w:r>
      <w:bookmarkEnd w:id="20"/>
      <w:r>
        <w:rPr>
          <w:szCs w:val="21"/>
        </w:rPr>
        <w:t>；</w:t>
      </w:r>
    </w:p>
    <w:p w14:paraId="399EBDB4">
      <w:pPr>
        <w:pStyle w:val="66"/>
        <w:spacing w:line="360" w:lineRule="exact"/>
        <w:ind w:firstLine="420"/>
        <w:rPr>
          <w:szCs w:val="21"/>
        </w:rPr>
      </w:pPr>
      <w:r>
        <w:rPr>
          <w:szCs w:val="21"/>
        </w:rPr>
        <w:t>——</w:t>
      </w:r>
      <w:r>
        <w:rPr>
          <w:rFonts w:hint="eastAsia"/>
          <w:szCs w:val="21"/>
        </w:rPr>
        <w:t>更改了冷库建筑的内容</w:t>
      </w:r>
      <w:bookmarkStart w:id="21" w:name="_Hlk240813288"/>
      <w:r>
        <w:rPr>
          <w:rFonts w:hint="eastAsia"/>
          <w:szCs w:val="21"/>
        </w:rPr>
        <w:t>（见6.1，2019年版的6.1）</w:t>
      </w:r>
      <w:bookmarkEnd w:id="21"/>
      <w:r>
        <w:rPr>
          <w:rFonts w:hint="eastAsia"/>
          <w:szCs w:val="21"/>
        </w:rPr>
        <w:t>；</w:t>
      </w:r>
    </w:p>
    <w:p w14:paraId="19E06D06">
      <w:pPr>
        <w:pStyle w:val="66"/>
        <w:spacing w:line="360" w:lineRule="exact"/>
        <w:ind w:firstLine="420"/>
        <w:rPr>
          <w:szCs w:val="21"/>
        </w:rPr>
      </w:pPr>
      <w:r>
        <w:rPr>
          <w:szCs w:val="21"/>
        </w:rPr>
        <w:t>——</w:t>
      </w:r>
      <w:r>
        <w:rPr>
          <w:rFonts w:hint="eastAsia"/>
          <w:szCs w:val="21"/>
        </w:rPr>
        <w:t>更改了控温封闭站台的内容</w:t>
      </w:r>
      <w:bookmarkStart w:id="22" w:name="_Hlk240813338"/>
      <w:r>
        <w:rPr>
          <w:rFonts w:hint="eastAsia"/>
          <w:szCs w:val="21"/>
        </w:rPr>
        <w:t>（见6.2，2019年版的6.2）</w:t>
      </w:r>
      <w:bookmarkEnd w:id="22"/>
      <w:r>
        <w:rPr>
          <w:rFonts w:hint="eastAsia"/>
          <w:szCs w:val="21"/>
        </w:rPr>
        <w:t>；</w:t>
      </w:r>
    </w:p>
    <w:p w14:paraId="51C32F5C">
      <w:pPr>
        <w:pStyle w:val="66"/>
        <w:spacing w:line="360" w:lineRule="exact"/>
        <w:ind w:firstLine="420"/>
        <w:rPr>
          <w:szCs w:val="21"/>
        </w:rPr>
      </w:pPr>
      <w:r>
        <w:rPr>
          <w:szCs w:val="21"/>
        </w:rPr>
        <w:t>——</w:t>
      </w:r>
      <w:r>
        <w:rPr>
          <w:rFonts w:hint="eastAsia"/>
          <w:szCs w:val="21"/>
        </w:rPr>
        <w:t>增加了作业车间、检测用房、配套用房的相关内容</w:t>
      </w:r>
      <w:bookmarkStart w:id="23" w:name="_Hlk240813352"/>
      <w:r>
        <w:rPr>
          <w:rFonts w:hint="eastAsia"/>
          <w:szCs w:val="21"/>
        </w:rPr>
        <w:t>（见6.3、6.4、6.5）</w:t>
      </w:r>
      <w:bookmarkEnd w:id="23"/>
      <w:r>
        <w:rPr>
          <w:rFonts w:hint="eastAsia"/>
          <w:szCs w:val="21"/>
        </w:rPr>
        <w:t>；</w:t>
      </w:r>
    </w:p>
    <w:p w14:paraId="47FCAE65">
      <w:pPr>
        <w:pStyle w:val="66"/>
        <w:spacing w:line="360" w:lineRule="exact"/>
        <w:ind w:firstLine="420"/>
        <w:rPr>
          <w:szCs w:val="21"/>
        </w:rPr>
      </w:pPr>
      <w:r>
        <w:rPr>
          <w:szCs w:val="21"/>
        </w:rPr>
        <w:t>——</w:t>
      </w:r>
      <w:r>
        <w:rPr>
          <w:rFonts w:hint="eastAsia"/>
          <w:szCs w:val="21"/>
        </w:rPr>
        <w:t>更改了收发货区的内容（见7.1，2019年版的7.1）；</w:t>
      </w:r>
    </w:p>
    <w:p w14:paraId="43BB2797">
      <w:pPr>
        <w:pStyle w:val="66"/>
        <w:spacing w:line="360" w:lineRule="exact"/>
        <w:ind w:firstLine="420"/>
        <w:rPr>
          <w:szCs w:val="21"/>
        </w:rPr>
      </w:pPr>
      <w:r>
        <w:rPr>
          <w:szCs w:val="21"/>
        </w:rPr>
        <w:t>——</w:t>
      </w:r>
      <w:r>
        <w:rPr>
          <w:rFonts w:hint="eastAsia"/>
          <w:szCs w:val="21"/>
        </w:rPr>
        <w:t>增加了预冷区的内容（</w:t>
      </w:r>
      <w:bookmarkStart w:id="24" w:name="_Hlk240813511"/>
      <w:r>
        <w:rPr>
          <w:rFonts w:hint="eastAsia"/>
          <w:szCs w:val="21"/>
        </w:rPr>
        <w:t>见7.2</w:t>
      </w:r>
      <w:bookmarkEnd w:id="24"/>
      <w:r>
        <w:rPr>
          <w:rFonts w:hint="eastAsia"/>
          <w:szCs w:val="21"/>
        </w:rPr>
        <w:t>）；</w:t>
      </w:r>
    </w:p>
    <w:p w14:paraId="7DEAAFF5">
      <w:pPr>
        <w:pStyle w:val="66"/>
        <w:spacing w:line="360" w:lineRule="exact"/>
        <w:ind w:firstLine="420"/>
        <w:rPr>
          <w:szCs w:val="21"/>
        </w:rPr>
      </w:pPr>
      <w:r>
        <w:rPr>
          <w:szCs w:val="21"/>
        </w:rPr>
        <w:t>——</w:t>
      </w:r>
      <w:bookmarkStart w:id="25" w:name="_Hlk240813538"/>
      <w:r>
        <w:rPr>
          <w:rFonts w:hint="eastAsia"/>
          <w:szCs w:val="21"/>
        </w:rPr>
        <w:t>更改了存储区、流通加工区、分拣区、暂存区、装卸作业区、检测区的内容（见7.3</w:t>
      </w:r>
      <w:r>
        <w:rPr>
          <w:szCs w:val="21"/>
        </w:rPr>
        <w:t>～</w:t>
      </w:r>
      <w:r>
        <w:rPr>
          <w:rFonts w:hint="eastAsia"/>
          <w:szCs w:val="21"/>
        </w:rPr>
        <w:t>7.8，2019年版的7.2</w:t>
      </w:r>
      <w:r>
        <w:rPr>
          <w:szCs w:val="21"/>
        </w:rPr>
        <w:t>～</w:t>
      </w:r>
      <w:r>
        <w:rPr>
          <w:rFonts w:hint="eastAsia"/>
          <w:szCs w:val="21"/>
        </w:rPr>
        <w:t>7.7）</w:t>
      </w:r>
      <w:bookmarkEnd w:id="25"/>
      <w:r>
        <w:rPr>
          <w:rFonts w:hint="eastAsia"/>
          <w:szCs w:val="21"/>
        </w:rPr>
        <w:t>；</w:t>
      </w:r>
    </w:p>
    <w:p w14:paraId="2F6D3D9F">
      <w:pPr>
        <w:pStyle w:val="66"/>
        <w:spacing w:line="360" w:lineRule="exact"/>
        <w:ind w:firstLine="420"/>
        <w:rPr>
          <w:szCs w:val="21"/>
        </w:rPr>
      </w:pPr>
      <w:r>
        <w:rPr>
          <w:szCs w:val="21"/>
        </w:rPr>
        <w:t>——</w:t>
      </w:r>
      <w:r>
        <w:rPr>
          <w:rFonts w:hint="eastAsia"/>
          <w:szCs w:val="21"/>
        </w:rPr>
        <w:t>增加了充能区和附属配套区的相关内容（见7.9、7.10）；</w:t>
      </w:r>
    </w:p>
    <w:p w14:paraId="0CE1BABB">
      <w:pPr>
        <w:pStyle w:val="66"/>
        <w:spacing w:line="360" w:lineRule="exact"/>
        <w:ind w:firstLine="420"/>
        <w:rPr>
          <w:szCs w:val="21"/>
        </w:rPr>
      </w:pPr>
      <w:r>
        <w:rPr>
          <w:szCs w:val="21"/>
        </w:rPr>
        <w:t>——</w:t>
      </w:r>
      <w:r>
        <w:rPr>
          <w:rFonts w:hint="eastAsia"/>
          <w:szCs w:val="21"/>
        </w:rPr>
        <w:t>增加了温控系统的内容</w:t>
      </w:r>
      <w:bookmarkStart w:id="26" w:name="_Hlk240813633"/>
      <w:r>
        <w:rPr>
          <w:rFonts w:hint="eastAsia"/>
          <w:szCs w:val="21"/>
        </w:rPr>
        <w:t>（见第8章）</w:t>
      </w:r>
      <w:bookmarkEnd w:id="26"/>
      <w:r>
        <w:rPr>
          <w:rFonts w:hint="eastAsia"/>
          <w:szCs w:val="21"/>
        </w:rPr>
        <w:t>；</w:t>
      </w:r>
    </w:p>
    <w:p w14:paraId="4AC553BA">
      <w:pPr>
        <w:pStyle w:val="66"/>
        <w:spacing w:line="360" w:lineRule="exact"/>
        <w:ind w:firstLine="420"/>
        <w:rPr>
          <w:szCs w:val="21"/>
        </w:rPr>
      </w:pPr>
      <w:r>
        <w:rPr>
          <w:szCs w:val="21"/>
        </w:rPr>
        <w:t>——</w:t>
      </w:r>
      <w:r>
        <w:rPr>
          <w:rFonts w:hint="eastAsia"/>
          <w:szCs w:val="21"/>
        </w:rPr>
        <w:t>更改了道路及动线的内容</w:t>
      </w:r>
      <w:bookmarkStart w:id="27" w:name="_Hlk240813651"/>
      <w:r>
        <w:rPr>
          <w:rFonts w:hint="eastAsia"/>
          <w:szCs w:val="21"/>
        </w:rPr>
        <w:t>（见第9章，2019年版的第8章）</w:t>
      </w:r>
      <w:bookmarkEnd w:id="27"/>
      <w:r>
        <w:rPr>
          <w:rFonts w:hint="eastAsia"/>
          <w:szCs w:val="21"/>
        </w:rPr>
        <w:t>；</w:t>
      </w:r>
    </w:p>
    <w:p w14:paraId="0F29DE77">
      <w:pPr>
        <w:pStyle w:val="66"/>
        <w:spacing w:line="360" w:lineRule="exact"/>
        <w:ind w:firstLine="420"/>
        <w:rPr>
          <w:szCs w:val="21"/>
        </w:rPr>
      </w:pPr>
      <w:r>
        <w:rPr>
          <w:szCs w:val="21"/>
        </w:rPr>
        <w:t>——</w:t>
      </w:r>
      <w:r>
        <w:rPr>
          <w:rFonts w:hint="eastAsia"/>
          <w:szCs w:val="21"/>
        </w:rPr>
        <w:t>增加了预冷设备的内容（见10.1）；</w:t>
      </w:r>
    </w:p>
    <w:p w14:paraId="5448312E">
      <w:pPr>
        <w:pStyle w:val="66"/>
        <w:spacing w:line="360" w:lineRule="exact"/>
        <w:ind w:firstLine="420"/>
        <w:rPr>
          <w:szCs w:val="21"/>
        </w:rPr>
      </w:pPr>
      <w:r>
        <w:rPr>
          <w:szCs w:val="21"/>
        </w:rPr>
        <w:t>——</w:t>
      </w:r>
      <w:r>
        <w:rPr>
          <w:rFonts w:hint="eastAsia"/>
          <w:szCs w:val="21"/>
        </w:rPr>
        <w:t>更改了存储设备、分拣设备、搬运设备、流通加工设备、物流容器、检测设备的内容</w:t>
      </w:r>
      <w:bookmarkStart w:id="28" w:name="_Hlk240813681"/>
      <w:r>
        <w:rPr>
          <w:rFonts w:hint="eastAsia"/>
          <w:szCs w:val="21"/>
        </w:rPr>
        <w:t>（见10.2</w:t>
      </w:r>
      <w:r>
        <w:rPr>
          <w:szCs w:val="21"/>
        </w:rPr>
        <w:t>～</w:t>
      </w:r>
      <w:r>
        <w:rPr>
          <w:rFonts w:hint="eastAsia"/>
          <w:szCs w:val="21"/>
        </w:rPr>
        <w:t>10.7，2019年版的9.1</w:t>
      </w:r>
      <w:r>
        <w:rPr>
          <w:szCs w:val="21"/>
        </w:rPr>
        <w:t>～</w:t>
      </w:r>
      <w:r>
        <w:rPr>
          <w:rFonts w:hint="eastAsia"/>
          <w:szCs w:val="21"/>
        </w:rPr>
        <w:t>9.6）</w:t>
      </w:r>
      <w:bookmarkEnd w:id="28"/>
      <w:r>
        <w:rPr>
          <w:rFonts w:hint="eastAsia"/>
          <w:szCs w:val="21"/>
        </w:rPr>
        <w:t>；</w:t>
      </w:r>
    </w:p>
    <w:p w14:paraId="70938328">
      <w:pPr>
        <w:pStyle w:val="66"/>
        <w:spacing w:line="360" w:lineRule="exact"/>
        <w:ind w:firstLine="420"/>
        <w:rPr>
          <w:szCs w:val="21"/>
        </w:rPr>
      </w:pPr>
      <w:r>
        <w:rPr>
          <w:szCs w:val="21"/>
        </w:rPr>
        <w:t>——</w:t>
      </w:r>
      <w:r>
        <w:rPr>
          <w:rFonts w:hint="eastAsia"/>
          <w:szCs w:val="21"/>
        </w:rPr>
        <w:t>增加了网络及信息化设备的内容（见10.8）；</w:t>
      </w:r>
    </w:p>
    <w:p w14:paraId="661B8061">
      <w:pPr>
        <w:pStyle w:val="66"/>
        <w:spacing w:line="360" w:lineRule="exact"/>
        <w:ind w:firstLine="420"/>
        <w:rPr>
          <w:szCs w:val="21"/>
        </w:rPr>
      </w:pPr>
      <w:r>
        <w:rPr>
          <w:szCs w:val="21"/>
        </w:rPr>
        <w:t>——</w:t>
      </w:r>
      <w:r>
        <w:rPr>
          <w:rFonts w:hint="eastAsia"/>
          <w:szCs w:val="21"/>
        </w:rPr>
        <w:t>增加了能源与节能环保的内容（见第11章）；</w:t>
      </w:r>
    </w:p>
    <w:p w14:paraId="4818E3FA">
      <w:pPr>
        <w:pStyle w:val="66"/>
        <w:spacing w:line="360" w:lineRule="exact"/>
        <w:ind w:firstLine="420"/>
        <w:rPr>
          <w:szCs w:val="21"/>
        </w:rPr>
      </w:pPr>
      <w:r>
        <w:rPr>
          <w:szCs w:val="21"/>
        </w:rPr>
        <w:t>——</w:t>
      </w:r>
      <w:r>
        <w:rPr>
          <w:rFonts w:hint="eastAsia"/>
          <w:szCs w:val="21"/>
        </w:rPr>
        <w:t>增加了安全与卫生的内容（见第12章）；</w:t>
      </w:r>
    </w:p>
    <w:p w14:paraId="7DEEC662">
      <w:pPr>
        <w:pStyle w:val="66"/>
        <w:spacing w:line="360" w:lineRule="exact"/>
        <w:ind w:firstLine="420"/>
        <w:rPr>
          <w:szCs w:val="21"/>
        </w:rPr>
      </w:pPr>
      <w:r>
        <w:rPr>
          <w:szCs w:val="21"/>
        </w:rPr>
        <w:t>——</w:t>
      </w:r>
      <w:r>
        <w:rPr>
          <w:rFonts w:hint="eastAsia"/>
          <w:szCs w:val="21"/>
        </w:rPr>
        <w:t>更改了信息化与智能化的内容（见第13章，2019年版的第10章）。</w:t>
      </w:r>
    </w:p>
    <w:p w14:paraId="4C3D9244">
      <w:pPr>
        <w:pStyle w:val="66"/>
        <w:spacing w:line="360" w:lineRule="exact"/>
        <w:ind w:firstLine="420"/>
      </w:pPr>
      <w:r>
        <w:rPr>
          <w:rFonts w:hint="eastAsia"/>
        </w:rPr>
        <w:t>请注意本文件的某些内容可能涉及专利。本文件的发布机构不承担识别专利的责任。</w:t>
      </w:r>
    </w:p>
    <w:p w14:paraId="71210D7F">
      <w:pPr>
        <w:pStyle w:val="66"/>
        <w:spacing w:line="360" w:lineRule="exact"/>
        <w:ind w:firstLine="420"/>
      </w:pPr>
      <w:r>
        <w:rPr>
          <w:rFonts w:hint="eastAsia"/>
        </w:rPr>
        <w:t>本文件由全国物流标准化技术委员会（SAC/TC 269）提出并归口。</w:t>
      </w:r>
    </w:p>
    <w:p w14:paraId="1C0FB654">
      <w:pPr>
        <w:pStyle w:val="66"/>
        <w:spacing w:line="360" w:lineRule="exact"/>
        <w:ind w:firstLine="420"/>
      </w:pPr>
      <w:r>
        <w:rPr>
          <w:rFonts w:hint="eastAsia"/>
        </w:rPr>
        <w:t>本文件起草单位：中国仓储与配送协会、北京时代商联供应链科技有限公司、山东省鲁商冰轮建筑设计有限公司、成都银犁冷链物流股份有限公司、北京京邦达贸易有限公司、内蒙古蒙牛乳业(集团)股份有限公司、中交四航（广州）供应链管理有限公司、河北壹雪制冷科技有限公司、山东商业职业技术大学、安徽华章机器人技术有限公司、江苏华章智能科技有限公司、山东银座配送有限公司、华晟(青岛)智能装备科技有限公司、四川省华盛兴邦工程设计有限公司、安徽皖泰门业科技有限公司、捷曼门业（北京）有限公司、中交第三航务工程勘察设计院有限公司、深圳新源柔性科技有限公司、机械工业第六设计研究院有限公司、上海冷链协会。</w:t>
      </w:r>
    </w:p>
    <w:p w14:paraId="21D26B4A">
      <w:pPr>
        <w:pStyle w:val="66"/>
        <w:spacing w:line="360" w:lineRule="exact"/>
        <w:ind w:firstLine="420"/>
      </w:pPr>
      <w:r>
        <w:rPr>
          <w:rFonts w:hint="eastAsia"/>
        </w:rPr>
        <w:t>本文件主要起草人：李燕、姜松、唐俊杰、刘龙昌、郑淑坤、李涛、石林、苑亮、谢斌、高何杰、华聚良、唐云霄、郭风军、姜沛宏、张继程、徐丰娟、冯丽、尉润华、陈萌、吴一凡、王高亭、张艺伟、窦亚妮、邬勇、高安平、陈伟东、聂赞相、杨滔滔、李龙雨。</w:t>
      </w:r>
    </w:p>
    <w:p w14:paraId="206AC742">
      <w:pPr>
        <w:pStyle w:val="66"/>
        <w:spacing w:line="360" w:lineRule="exact"/>
        <w:ind w:firstLine="420"/>
      </w:pPr>
      <w:r>
        <w:rPr>
          <w:rFonts w:hint="eastAsia"/>
        </w:rPr>
        <w:t>本文件及其所代替文件的历次版本发布情况为：</w:t>
      </w:r>
    </w:p>
    <w:p w14:paraId="3B6AEC7E">
      <w:pPr>
        <w:pStyle w:val="66"/>
        <w:spacing w:line="360" w:lineRule="exact"/>
        <w:ind w:firstLine="420"/>
      </w:pPr>
      <w:r>
        <w:rPr>
          <w:rFonts w:hint="eastAsia"/>
        </w:rPr>
        <w:t>——2019年首次发布为GB/T 38375—2019；</w:t>
      </w:r>
    </w:p>
    <w:p w14:paraId="0FFF7C7C">
      <w:pPr>
        <w:pStyle w:val="66"/>
        <w:spacing w:line="360" w:lineRule="exact"/>
        <w:ind w:firstLine="420"/>
      </w:pPr>
      <w:r>
        <w:rPr>
          <w:rFonts w:hint="eastAsia"/>
        </w:rPr>
        <w:t>——本次为第一次修订。</w:t>
      </w:r>
    </w:p>
    <w:p w14:paraId="57576B4D">
      <w:pPr>
        <w:pStyle w:val="49"/>
        <w:shd w:val="clear" w:color="auto" w:fill="auto"/>
        <w:spacing w:before="0"/>
        <w:ind w:left="200" w:right="92" w:firstLine="440"/>
        <w:jc w:val="both"/>
        <w:rPr>
          <w:rFonts w:ascii="Times New Roman" w:hAnsi="Times New Roman" w:eastAsia="宋体"/>
        </w:rPr>
        <w:sectPr>
          <w:headerReference r:id="rId11" w:type="first"/>
          <w:footerReference r:id="rId14" w:type="first"/>
          <w:headerReference r:id="rId9" w:type="default"/>
          <w:footerReference r:id="rId12" w:type="default"/>
          <w:headerReference r:id="rId10" w:type="even"/>
          <w:footerReference r:id="rId13" w:type="even"/>
          <w:pgSz w:w="11900" w:h="16840"/>
          <w:pgMar w:top="1928" w:right="1134" w:bottom="1134" w:left="1134" w:header="0" w:footer="6" w:gutter="284"/>
          <w:pgNumType w:fmt="upperRoman"/>
          <w:cols w:space="720" w:num="1"/>
          <w:docGrid w:linePitch="360" w:charSpace="0"/>
        </w:sectPr>
      </w:pPr>
    </w:p>
    <w:sdt>
      <w:sdtPr>
        <w:tag w:val="NEW_STAND_NAME"/>
        <w:id w:val="595910757"/>
        <w:placeholder>
          <w:docPart w:val="8EC0E281E8D541D4BC0731E248A8BDF3"/>
        </w:placeholder>
      </w:sdtPr>
      <w:sdtContent>
        <w:p w14:paraId="4FBC4309">
          <w:pPr>
            <w:pStyle w:val="65"/>
            <w:spacing w:before="2" w:beforeLines="1" w:after="528" w:afterLines="220"/>
            <w:rPr>
              <w:rFonts w:ascii="Calibri" w:hAnsi="Calibri" w:eastAsia="宋体"/>
              <w:b/>
              <w:szCs w:val="21"/>
            </w:rPr>
          </w:pPr>
          <w:r>
            <w:rPr>
              <w:rFonts w:hint="eastAsia"/>
            </w:rPr>
            <w:t>食品低温配送中心规划设计指南</w:t>
          </w:r>
        </w:p>
      </w:sdtContent>
    </w:sdt>
    <w:p w14:paraId="046496DA">
      <w:pPr>
        <w:pStyle w:val="64"/>
        <w:numPr>
          <w:ilvl w:val="1"/>
          <w:numId w:val="3"/>
        </w:numPr>
        <w:spacing w:before="240" w:after="240"/>
        <w:rPr>
          <w:color w:val="000000" w:themeColor="text1"/>
          <w14:textFill>
            <w14:solidFill>
              <w14:schemeClr w14:val="tx1"/>
            </w14:solidFill>
          </w14:textFill>
        </w:rPr>
      </w:pPr>
      <w:bookmarkStart w:id="29" w:name="_Toc17233333"/>
      <w:bookmarkStart w:id="30" w:name="_Toc221718661"/>
      <w:bookmarkStart w:id="31" w:name="_Toc24884211"/>
      <w:bookmarkStart w:id="32" w:name="_Toc26986530"/>
      <w:bookmarkStart w:id="33" w:name="_Toc17233325"/>
      <w:bookmarkStart w:id="34" w:name="_Toc26986771"/>
      <w:bookmarkStart w:id="35" w:name="_Toc221026186"/>
      <w:bookmarkStart w:id="36" w:name="_Toc240808140"/>
      <w:bookmarkStart w:id="37" w:name="_Toc24884218"/>
      <w:bookmarkStart w:id="38" w:name="_Toc26718930"/>
      <w:bookmarkStart w:id="39" w:name="_Toc26648465"/>
      <w:bookmarkStart w:id="40" w:name="_Toc97190718"/>
      <w:r>
        <w:rPr>
          <w:rFonts w:hint="eastAsia"/>
          <w:color w:val="000000" w:themeColor="text1"/>
          <w14:textFill>
            <w14:solidFill>
              <w14:schemeClr w14:val="tx1"/>
            </w14:solidFill>
          </w14:textFill>
        </w:rPr>
        <w:t>范围</w:t>
      </w:r>
      <w:bookmarkEnd w:id="29"/>
      <w:bookmarkEnd w:id="30"/>
      <w:bookmarkEnd w:id="31"/>
      <w:bookmarkEnd w:id="32"/>
      <w:bookmarkEnd w:id="33"/>
      <w:bookmarkEnd w:id="34"/>
      <w:bookmarkEnd w:id="35"/>
      <w:bookmarkEnd w:id="36"/>
      <w:bookmarkEnd w:id="37"/>
      <w:bookmarkEnd w:id="38"/>
      <w:bookmarkEnd w:id="39"/>
      <w:bookmarkEnd w:id="40"/>
    </w:p>
    <w:p w14:paraId="21FBCFDC">
      <w:pPr>
        <w:pStyle w:val="66"/>
        <w:spacing w:line="340" w:lineRule="exact"/>
        <w:ind w:firstLine="420"/>
      </w:pPr>
      <w:r>
        <w:t>本</w:t>
      </w:r>
      <w:r>
        <w:rPr>
          <w:rFonts w:hint="eastAsia"/>
        </w:rPr>
        <w:t>文件给出</w:t>
      </w:r>
      <w:r>
        <w:t>了食品低温配送中心规划设计的</w:t>
      </w:r>
      <w:r>
        <w:rPr>
          <w:rFonts w:hint="eastAsia"/>
        </w:rPr>
        <w:t>总体</w:t>
      </w:r>
      <w:r>
        <w:t>原则，</w:t>
      </w:r>
      <w:r>
        <w:rPr>
          <w:rFonts w:hint="eastAsia"/>
        </w:rPr>
        <w:t>并就规划设计</w:t>
      </w:r>
      <w:r>
        <w:t>、主体</w:t>
      </w:r>
      <w:r>
        <w:rPr>
          <w:rFonts w:hint="eastAsia"/>
        </w:rPr>
        <w:t>设施</w:t>
      </w:r>
      <w:r>
        <w:t>、核心功能区、</w:t>
      </w:r>
      <w:r>
        <w:rPr>
          <w:rFonts w:hint="eastAsia"/>
        </w:rPr>
        <w:t>温控系</w:t>
      </w:r>
      <w:r>
        <w:rPr>
          <w:rFonts w:hint="eastAsia"/>
          <w:color w:val="000000" w:themeColor="text1"/>
          <w14:textFill>
            <w14:solidFill>
              <w14:schemeClr w14:val="tx1"/>
            </w14:solidFill>
          </w14:textFill>
        </w:rPr>
        <w:t>统、</w:t>
      </w:r>
      <w:r>
        <w:t>道路及动线、</w:t>
      </w:r>
      <w:r>
        <w:rPr>
          <w:rFonts w:hint="eastAsia"/>
        </w:rPr>
        <w:t>作业设备</w:t>
      </w:r>
      <w:r>
        <w:t>、</w:t>
      </w:r>
      <w:r>
        <w:rPr>
          <w:rFonts w:hint="eastAsia"/>
          <w:color w:val="000000" w:themeColor="text1"/>
          <w14:textFill>
            <w14:solidFill>
              <w14:schemeClr w14:val="tx1"/>
            </w14:solidFill>
          </w14:textFill>
        </w:rPr>
        <w:t>能源与节能环</w:t>
      </w:r>
      <w:r>
        <w:rPr>
          <w:rFonts w:hint="eastAsia"/>
        </w:rPr>
        <w:t>保、安全与卫生、</w:t>
      </w:r>
      <w:r>
        <w:t>信息化</w:t>
      </w:r>
      <w:r>
        <w:rPr>
          <w:rFonts w:hint="eastAsia"/>
        </w:rPr>
        <w:t>与智能化提出设计和规划建议</w:t>
      </w:r>
      <w:r>
        <w:t>。</w:t>
      </w:r>
    </w:p>
    <w:p w14:paraId="5461FA45">
      <w:pPr>
        <w:pStyle w:val="66"/>
        <w:spacing w:line="340" w:lineRule="exact"/>
        <w:ind w:firstLine="420"/>
      </w:pPr>
      <w:r>
        <w:t>本</w:t>
      </w:r>
      <w:r>
        <w:rPr>
          <w:rFonts w:hint="eastAsia"/>
        </w:rPr>
        <w:t>文件</w:t>
      </w:r>
      <w:r>
        <w:t>适用于</w:t>
      </w:r>
      <w:r>
        <w:rPr>
          <w:rFonts w:hint="eastAsia"/>
        </w:rPr>
        <w:t>食品低温配送中心</w:t>
      </w:r>
      <w:r>
        <w:t>的新建、改建或扩建。</w:t>
      </w:r>
    </w:p>
    <w:p w14:paraId="4DCB109E">
      <w:pPr>
        <w:pStyle w:val="64"/>
        <w:numPr>
          <w:ilvl w:val="1"/>
          <w:numId w:val="3"/>
        </w:numPr>
        <w:spacing w:before="240" w:after="240"/>
        <w:rPr>
          <w:color w:val="000000" w:themeColor="text1"/>
          <w14:textFill>
            <w14:solidFill>
              <w14:schemeClr w14:val="tx1"/>
            </w14:solidFill>
          </w14:textFill>
        </w:rPr>
      </w:pPr>
      <w:bookmarkStart w:id="41" w:name="_Toc26718931"/>
      <w:bookmarkStart w:id="42" w:name="_Toc221718662"/>
      <w:bookmarkStart w:id="43" w:name="_Toc26986531"/>
      <w:bookmarkStart w:id="44" w:name="_Toc240808141"/>
      <w:bookmarkStart w:id="45" w:name="_Toc221026187"/>
      <w:bookmarkStart w:id="46" w:name="_Toc97190719"/>
      <w:bookmarkStart w:id="47" w:name="_Toc26986772"/>
      <w:r>
        <w:rPr>
          <w:rFonts w:hint="eastAsia"/>
          <w:color w:val="000000" w:themeColor="text1"/>
          <w14:textFill>
            <w14:solidFill>
              <w14:schemeClr w14:val="tx1"/>
            </w14:solidFill>
          </w14:textFill>
        </w:rPr>
        <w:t>规范性引用文件</w:t>
      </w:r>
      <w:bookmarkEnd w:id="41"/>
      <w:bookmarkEnd w:id="42"/>
      <w:bookmarkEnd w:id="43"/>
      <w:bookmarkEnd w:id="44"/>
      <w:bookmarkEnd w:id="45"/>
      <w:bookmarkEnd w:id="46"/>
      <w:bookmarkEnd w:id="47"/>
    </w:p>
    <w:p w14:paraId="0249584A">
      <w:pPr>
        <w:pStyle w:val="66"/>
        <w:spacing w:before="240" w:after="240"/>
        <w:ind w:firstLine="420"/>
      </w:pPr>
      <w:sdt>
        <w:sdtPr>
          <w:rPr>
            <w:rFonts w:hint="eastAsia"/>
          </w:rPr>
          <w:id w:val="715848253"/>
          <w:placeholder>
            <w:docPart w:val="6DB8B4F0E5D8448897F818536B7B621D"/>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rPr>
        </w:sdtEndPr>
        <w:sdtContent>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sdtContent>
      </w:sdt>
    </w:p>
    <w:p w14:paraId="52CCCF05">
      <w:pPr>
        <w:pStyle w:val="66"/>
        <w:spacing w:line="340" w:lineRule="exact"/>
        <w:ind w:right="658" w:rightChars="274" w:firstLine="420"/>
        <w:rPr>
          <w:rFonts w:hint="eastAsia" w:hAnsi="宋体"/>
        </w:rPr>
      </w:pPr>
      <w:r>
        <w:rPr>
          <w:rFonts w:hAnsi="宋体"/>
        </w:rPr>
        <w:t>GB</w:t>
      </w:r>
      <w:r>
        <w:rPr>
          <w:rFonts w:hint="eastAsia" w:hAnsi="宋体"/>
        </w:rPr>
        <w:t xml:space="preserve"> </w:t>
      </w:r>
      <w:r>
        <w:rPr>
          <w:rFonts w:hAnsi="宋体"/>
        </w:rPr>
        <w:t>14881</w:t>
      </w:r>
      <w:r>
        <w:rPr>
          <w:rFonts w:hAnsi="宋体"/>
          <w:lang w:val="zh-CN" w:bidi="zh-CN"/>
        </w:rPr>
        <w:t>—</w:t>
      </w:r>
      <w:r>
        <w:rPr>
          <w:rFonts w:hint="eastAsia" w:hAnsi="宋体"/>
        </w:rPr>
        <w:t xml:space="preserve">2025  </w:t>
      </w:r>
      <w:r>
        <w:rPr>
          <w:rFonts w:hAnsi="宋体"/>
        </w:rPr>
        <w:t>食品安全国家标准</w:t>
      </w:r>
      <w:r>
        <w:rPr>
          <w:rFonts w:hint="eastAsia" w:hAnsi="宋体"/>
        </w:rPr>
        <w:t xml:space="preserve">  </w:t>
      </w:r>
      <w:r>
        <w:rPr>
          <w:rFonts w:hAnsi="宋体"/>
        </w:rPr>
        <w:t>食品生产通用卫生规范</w:t>
      </w:r>
    </w:p>
    <w:p w14:paraId="1F3711A3">
      <w:pPr>
        <w:pStyle w:val="66"/>
        <w:spacing w:line="340" w:lineRule="exact"/>
        <w:ind w:right="658" w:rightChars="274" w:firstLine="420"/>
        <w:rPr>
          <w:rFonts w:hint="eastAsia" w:hAnsi="宋体"/>
        </w:rPr>
      </w:pPr>
      <w:r>
        <w:rPr>
          <w:rFonts w:hAnsi="宋体"/>
        </w:rPr>
        <w:t>GB/T 18354</w:t>
      </w:r>
      <w:r>
        <w:rPr>
          <w:rFonts w:hint="eastAsia" w:hAnsi="宋体"/>
        </w:rPr>
        <w:t xml:space="preserve">  </w:t>
      </w:r>
      <w:r>
        <w:rPr>
          <w:rFonts w:hAnsi="宋体"/>
        </w:rPr>
        <w:t>物流术语</w:t>
      </w:r>
    </w:p>
    <w:p w14:paraId="1EAC51F7">
      <w:pPr>
        <w:pStyle w:val="66"/>
        <w:spacing w:line="340" w:lineRule="exact"/>
        <w:ind w:right="658" w:rightChars="274" w:firstLine="420"/>
        <w:rPr>
          <w:rFonts w:hint="eastAsia" w:hAnsi="宋体"/>
        </w:rPr>
      </w:pPr>
      <w:r>
        <w:rPr>
          <w:rFonts w:hAnsi="宋体"/>
        </w:rPr>
        <w:t>GB/T 28581—</w:t>
      </w:r>
      <w:r>
        <w:rPr>
          <w:rFonts w:hint="eastAsia" w:hAnsi="宋体"/>
        </w:rPr>
        <w:t xml:space="preserve">2021  </w:t>
      </w:r>
      <w:r>
        <w:rPr>
          <w:rFonts w:hAnsi="宋体"/>
        </w:rPr>
        <w:t>通用仓库及库区规划设计参数</w:t>
      </w:r>
    </w:p>
    <w:p w14:paraId="53D1299A">
      <w:pPr>
        <w:pStyle w:val="66"/>
        <w:spacing w:line="340" w:lineRule="exact"/>
        <w:ind w:right="658" w:rightChars="274" w:firstLine="420"/>
        <w:rPr>
          <w:rFonts w:hint="eastAsia" w:hAnsi="宋体"/>
        </w:rPr>
      </w:pPr>
      <w:r>
        <w:rPr>
          <w:rFonts w:hAnsi="宋体"/>
          <w:lang w:bidi="zh-CN"/>
        </w:rPr>
        <w:t>GB/T 28843</w:t>
      </w:r>
      <w:r>
        <w:rPr>
          <w:rFonts w:hAnsi="宋体"/>
          <w:lang w:val="zh-CN" w:bidi="zh-CN"/>
        </w:rPr>
        <w:t>—</w:t>
      </w:r>
      <w:r>
        <w:rPr>
          <w:rFonts w:hAnsi="宋体"/>
          <w:lang w:bidi="zh-CN"/>
        </w:rPr>
        <w:t xml:space="preserve">2024  </w:t>
      </w:r>
      <w:r>
        <w:rPr>
          <w:rFonts w:hint="eastAsia" w:hAnsi="宋体"/>
          <w:lang w:bidi="zh-CN"/>
        </w:rPr>
        <w:t>食品冷链物流追溯管理要求</w:t>
      </w:r>
    </w:p>
    <w:p w14:paraId="1A35CD9E">
      <w:pPr>
        <w:pStyle w:val="66"/>
        <w:spacing w:line="340" w:lineRule="exact"/>
        <w:ind w:right="658" w:rightChars="274" w:firstLine="420"/>
        <w:rPr>
          <w:rFonts w:hint="eastAsia" w:hAnsi="宋体"/>
        </w:rPr>
      </w:pPr>
      <w:r>
        <w:rPr>
          <w:rFonts w:hAnsi="宋体"/>
        </w:rPr>
        <w:t>GB 31605</w:t>
      </w:r>
      <w:r>
        <w:rPr>
          <w:rFonts w:hint="eastAsia" w:hAnsi="宋体"/>
        </w:rPr>
        <w:t xml:space="preserve">  食品安全国家标准</w:t>
      </w:r>
      <w:r>
        <w:rPr>
          <w:rFonts w:hAnsi="宋体"/>
        </w:rPr>
        <w:t xml:space="preserve"> </w:t>
      </w:r>
      <w:r>
        <w:rPr>
          <w:rFonts w:hint="eastAsia" w:hAnsi="宋体"/>
        </w:rPr>
        <w:t>食品冷链物流卫生规范</w:t>
      </w:r>
    </w:p>
    <w:p w14:paraId="1D1DE39E">
      <w:pPr>
        <w:pStyle w:val="66"/>
        <w:spacing w:line="340" w:lineRule="exact"/>
        <w:ind w:right="658" w:rightChars="274" w:firstLine="420"/>
        <w:rPr>
          <w:rFonts w:hint="eastAsia" w:hAnsi="宋体"/>
        </w:rPr>
      </w:pPr>
      <w:r>
        <w:rPr>
          <w:rFonts w:hAnsi="宋体"/>
        </w:rPr>
        <w:t>GB</w:t>
      </w:r>
      <w:r>
        <w:rPr>
          <w:rFonts w:hint="eastAsia" w:hAnsi="宋体"/>
        </w:rPr>
        <w:t xml:space="preserve"> </w:t>
      </w:r>
      <w:r>
        <w:rPr>
          <w:rFonts w:hAnsi="宋体"/>
        </w:rPr>
        <w:t>31621</w:t>
      </w:r>
      <w:r>
        <w:rPr>
          <w:rFonts w:hint="eastAsia" w:hAnsi="宋体"/>
        </w:rPr>
        <w:t xml:space="preserve">  </w:t>
      </w:r>
      <w:r>
        <w:rPr>
          <w:rFonts w:hAnsi="宋体"/>
        </w:rPr>
        <w:t>食品安全国家标准</w:t>
      </w:r>
      <w:r>
        <w:rPr>
          <w:rFonts w:hint="eastAsia" w:hAnsi="宋体"/>
        </w:rPr>
        <w:t xml:space="preserve">  </w:t>
      </w:r>
      <w:r>
        <w:rPr>
          <w:rFonts w:hAnsi="宋体"/>
        </w:rPr>
        <w:t>食品经营过程卫生规范</w:t>
      </w:r>
    </w:p>
    <w:p w14:paraId="47A7622E">
      <w:pPr>
        <w:pStyle w:val="66"/>
        <w:spacing w:line="340" w:lineRule="exact"/>
        <w:ind w:right="658" w:rightChars="274" w:firstLine="420"/>
        <w:rPr>
          <w:rFonts w:hint="eastAsia" w:hAnsi="宋体"/>
        </w:rPr>
      </w:pPr>
      <w:r>
        <w:rPr>
          <w:rFonts w:hAnsi="宋体"/>
        </w:rPr>
        <w:t>GB</w:t>
      </w:r>
      <w:r>
        <w:rPr>
          <w:rFonts w:hint="eastAsia" w:hAnsi="宋体"/>
        </w:rPr>
        <w:t>/</w:t>
      </w:r>
      <w:r>
        <w:rPr>
          <w:rFonts w:hAnsi="宋体"/>
        </w:rPr>
        <w:t>T</w:t>
      </w:r>
      <w:r>
        <w:rPr>
          <w:rFonts w:hint="eastAsia" w:hAnsi="宋体"/>
        </w:rPr>
        <w:t xml:space="preserve"> </w:t>
      </w:r>
      <w:r>
        <w:rPr>
          <w:rFonts w:hAnsi="宋体"/>
        </w:rPr>
        <w:t>32146.1</w:t>
      </w:r>
      <w:r>
        <w:rPr>
          <w:rFonts w:hint="eastAsia" w:hAnsi="宋体"/>
        </w:rPr>
        <w:t xml:space="preserve">  检验检测实验室设计与建设技术要求 第</w:t>
      </w:r>
      <w:r>
        <w:rPr>
          <w:rFonts w:hAnsi="宋体"/>
        </w:rPr>
        <w:t>1</w:t>
      </w:r>
      <w:r>
        <w:rPr>
          <w:rFonts w:hint="eastAsia" w:hAnsi="宋体"/>
        </w:rPr>
        <w:t>部分：通用要求</w:t>
      </w:r>
    </w:p>
    <w:p w14:paraId="245C11F2">
      <w:pPr>
        <w:pStyle w:val="66"/>
        <w:spacing w:line="340" w:lineRule="exact"/>
        <w:ind w:right="658" w:rightChars="274" w:firstLine="420"/>
        <w:rPr>
          <w:rFonts w:hint="eastAsia" w:hAnsi="宋体"/>
        </w:rPr>
      </w:pPr>
      <w:r>
        <w:rPr>
          <w:rFonts w:hint="eastAsia" w:hAnsi="宋体"/>
        </w:rPr>
        <w:t>GB/T 32146.3  检验检测实验室设计与建设技术要求</w:t>
      </w:r>
      <w:r>
        <w:rPr>
          <w:rFonts w:hAnsi="宋体"/>
        </w:rPr>
        <w:t xml:space="preserve"> </w:t>
      </w:r>
      <w:r>
        <w:rPr>
          <w:rFonts w:hint="eastAsia" w:hAnsi="宋体"/>
        </w:rPr>
        <w:t>第</w:t>
      </w:r>
      <w:r>
        <w:rPr>
          <w:rFonts w:hAnsi="宋体"/>
        </w:rPr>
        <w:t>3</w:t>
      </w:r>
      <w:r>
        <w:rPr>
          <w:rFonts w:hint="eastAsia" w:hAnsi="宋体"/>
        </w:rPr>
        <w:t>部分：食品实验室</w:t>
      </w:r>
    </w:p>
    <w:p w14:paraId="7DA10349">
      <w:pPr>
        <w:pStyle w:val="66"/>
        <w:spacing w:line="340" w:lineRule="exact"/>
        <w:ind w:right="658" w:rightChars="274" w:firstLine="420"/>
        <w:rPr>
          <w:rFonts w:hint="eastAsia" w:hAnsi="宋体"/>
          <w:lang w:bidi="zh-CN"/>
        </w:rPr>
      </w:pPr>
      <w:r>
        <w:rPr>
          <w:rFonts w:hint="eastAsia" w:hAnsi="宋体"/>
        </w:rPr>
        <w:t xml:space="preserve">GB/T 43910  </w:t>
      </w:r>
      <w:r>
        <w:rPr>
          <w:rFonts w:hAnsi="宋体"/>
          <w:lang w:bidi="zh-CN"/>
        </w:rPr>
        <w:t>物流仓储设备 术语</w:t>
      </w:r>
    </w:p>
    <w:p w14:paraId="2A00C389">
      <w:pPr>
        <w:pStyle w:val="66"/>
        <w:spacing w:line="340" w:lineRule="exact"/>
        <w:ind w:right="658" w:rightChars="274" w:firstLine="420"/>
        <w:rPr>
          <w:rFonts w:hint="eastAsia" w:hAnsi="宋体"/>
        </w:rPr>
      </w:pPr>
      <w:r>
        <w:rPr>
          <w:rFonts w:hAnsi="宋体"/>
        </w:rPr>
        <w:t>GB 50016</w:t>
      </w:r>
      <w:r>
        <w:rPr>
          <w:rFonts w:hint="eastAsia" w:hAnsi="宋体"/>
        </w:rPr>
        <w:t xml:space="preserve">  </w:t>
      </w:r>
      <w:r>
        <w:rPr>
          <w:rFonts w:hAnsi="宋体"/>
        </w:rPr>
        <w:t xml:space="preserve">建筑设计防火规范 </w:t>
      </w:r>
    </w:p>
    <w:p w14:paraId="7A5A3755">
      <w:pPr>
        <w:pStyle w:val="66"/>
        <w:spacing w:line="340" w:lineRule="exact"/>
        <w:ind w:right="658" w:rightChars="274" w:firstLine="420"/>
        <w:rPr>
          <w:rFonts w:hint="eastAsia" w:hAnsi="宋体"/>
        </w:rPr>
      </w:pPr>
      <w:r>
        <w:fldChar w:fldCharType="begin"/>
      </w:r>
      <w:r>
        <w:instrText xml:space="preserve"> HYPERLINK "file:///D:\\xwechat_files\\st158598_7045\\msg\\file\\2026-07\\参考标准\\GB%2050072-2021%20冷库设计标准.pdf" </w:instrText>
      </w:r>
      <w:r>
        <w:fldChar w:fldCharType="separate"/>
      </w:r>
      <w:r>
        <w:rPr>
          <w:rStyle w:val="16"/>
          <w:rFonts w:hAnsi="宋体"/>
          <w:color w:val="auto"/>
          <w:u w:val="none"/>
        </w:rPr>
        <w:t>GB 50072</w:t>
      </w:r>
      <w:r>
        <w:rPr>
          <w:rFonts w:hint="eastAsia"/>
        </w:rPr>
        <w:t>—</w:t>
      </w:r>
      <w:r>
        <w:rPr>
          <w:rStyle w:val="16"/>
          <w:rFonts w:hint="eastAsia" w:hAnsi="宋体"/>
          <w:color w:val="auto"/>
          <w:u w:val="none"/>
        </w:rPr>
        <w:t xml:space="preserve">2021  </w:t>
      </w:r>
      <w:r>
        <w:rPr>
          <w:rStyle w:val="16"/>
          <w:rFonts w:hAnsi="宋体"/>
          <w:color w:val="auto"/>
          <w:u w:val="none"/>
        </w:rPr>
        <w:t>冷库设计</w:t>
      </w:r>
      <w:r>
        <w:rPr>
          <w:rStyle w:val="16"/>
          <w:rFonts w:hint="eastAsia" w:hAnsi="宋体"/>
          <w:color w:val="auto"/>
          <w:u w:val="none"/>
        </w:rPr>
        <w:t>标准</w:t>
      </w:r>
      <w:r>
        <w:rPr>
          <w:rStyle w:val="16"/>
          <w:rFonts w:hint="eastAsia" w:hAnsi="宋体"/>
          <w:color w:val="auto"/>
          <w:u w:val="none"/>
        </w:rPr>
        <w:fldChar w:fldCharType="end"/>
      </w:r>
      <w:r>
        <w:rPr>
          <w:rFonts w:hAnsi="宋体"/>
        </w:rPr>
        <w:t xml:space="preserve"> </w:t>
      </w:r>
    </w:p>
    <w:p w14:paraId="7209AC8A">
      <w:pPr>
        <w:pStyle w:val="66"/>
        <w:spacing w:line="340" w:lineRule="exact"/>
        <w:ind w:right="658" w:rightChars="274" w:firstLine="420"/>
        <w:rPr>
          <w:rFonts w:hint="eastAsia" w:hAnsi="宋体"/>
        </w:rPr>
      </w:pPr>
      <w:r>
        <w:rPr>
          <w:rFonts w:hint="eastAsia" w:hAnsi="宋体"/>
        </w:rPr>
        <w:t>GB/T 50966</w:t>
      </w:r>
      <w:r>
        <w:rPr>
          <w:rFonts w:hAnsi="宋体"/>
          <w:lang w:val="zh-CN" w:bidi="zh-CN"/>
        </w:rPr>
        <w:t>—</w:t>
      </w:r>
      <w:r>
        <w:rPr>
          <w:rFonts w:hint="eastAsia" w:hAnsi="宋体"/>
        </w:rPr>
        <w:t>2024  电动汽车充电站设计标准</w:t>
      </w:r>
    </w:p>
    <w:p w14:paraId="782D234A">
      <w:pPr>
        <w:pStyle w:val="66"/>
        <w:spacing w:line="340" w:lineRule="exact"/>
        <w:ind w:right="658" w:rightChars="274" w:firstLine="420"/>
        <w:rPr>
          <w:rFonts w:hint="eastAsia" w:hAnsi="宋体"/>
        </w:rPr>
      </w:pPr>
      <w:r>
        <w:rPr>
          <w:rFonts w:hint="eastAsia" w:hAnsi="宋体"/>
        </w:rPr>
        <w:t>GB 51157</w:t>
      </w:r>
      <w:r>
        <w:rPr>
          <w:rFonts w:hint="eastAsia"/>
          <w:color w:val="000000" w:themeColor="text1"/>
          <w14:textFill>
            <w14:solidFill>
              <w14:schemeClr w14:val="tx1"/>
            </w14:solidFill>
          </w14:textFill>
        </w:rPr>
        <w:t>—</w:t>
      </w:r>
      <w:r>
        <w:rPr>
          <w:rFonts w:hint="eastAsia" w:hAnsi="宋体"/>
        </w:rPr>
        <w:t>2016  物流建筑设计规范</w:t>
      </w:r>
    </w:p>
    <w:p w14:paraId="76AFC325">
      <w:pPr>
        <w:pStyle w:val="64"/>
        <w:numPr>
          <w:ilvl w:val="1"/>
          <w:numId w:val="3"/>
        </w:numPr>
        <w:spacing w:before="240" w:after="240"/>
        <w:rPr>
          <w:color w:val="000000" w:themeColor="text1"/>
          <w14:textFill>
            <w14:solidFill>
              <w14:schemeClr w14:val="tx1"/>
            </w14:solidFill>
          </w14:textFill>
        </w:rPr>
      </w:pPr>
      <w:bookmarkStart w:id="48" w:name="_Toc233028730"/>
      <w:bookmarkEnd w:id="48"/>
      <w:bookmarkStart w:id="49" w:name="_Toc221718663"/>
      <w:bookmarkStart w:id="50" w:name="_Toc97190720"/>
      <w:bookmarkStart w:id="51" w:name="_Toc221026188"/>
      <w:bookmarkStart w:id="52" w:name="_Toc240808142"/>
      <w:r>
        <w:rPr>
          <w:rFonts w:hint="eastAsia"/>
          <w:color w:val="000000" w:themeColor="text1"/>
          <w:szCs w:val="21"/>
          <w14:textFill>
            <w14:solidFill>
              <w14:schemeClr w14:val="tx1"/>
            </w14:solidFill>
          </w14:textFill>
        </w:rPr>
        <w:t>术语和定义</w:t>
      </w:r>
      <w:bookmarkEnd w:id="49"/>
      <w:bookmarkEnd w:id="50"/>
      <w:bookmarkEnd w:id="51"/>
      <w:bookmarkEnd w:id="52"/>
    </w:p>
    <w:p w14:paraId="4FDE469F">
      <w:pPr>
        <w:pStyle w:val="66"/>
        <w:spacing w:line="340" w:lineRule="exact"/>
        <w:ind w:right="658" w:rightChars="274" w:firstLine="420"/>
        <w:rPr>
          <w:rFonts w:ascii="Times New Roman"/>
        </w:rPr>
      </w:pPr>
      <w:r>
        <w:rPr>
          <w:rFonts w:ascii="Times New Roman"/>
        </w:rPr>
        <w:t>GB/T 18354界定的</w:t>
      </w:r>
      <w:r>
        <w:rPr>
          <w:rFonts w:hint="eastAsia" w:ascii="Times New Roman"/>
        </w:rPr>
        <w:t>以及下列</w:t>
      </w:r>
      <w:r>
        <w:rPr>
          <w:rFonts w:ascii="Times New Roman"/>
        </w:rPr>
        <w:t>术语和定义适用于本文件。</w:t>
      </w:r>
    </w:p>
    <w:p w14:paraId="1D48160F">
      <w:pPr>
        <w:pStyle w:val="97"/>
        <w:numPr>
          <w:ilvl w:val="2"/>
          <w:numId w:val="3"/>
        </w:numPr>
        <w:rPr>
          <w:rFonts w:hint="eastAsia" w:ascii="黑体" w:hAnsi="黑体" w:eastAsia="黑体"/>
        </w:rPr>
      </w:pPr>
    </w:p>
    <w:p w14:paraId="7182FE2F">
      <w:pPr>
        <w:pStyle w:val="66"/>
        <w:spacing w:line="340" w:lineRule="exact"/>
        <w:ind w:right="658" w:rightChars="274" w:firstLine="420"/>
        <w:rPr>
          <w:rFonts w:hint="eastAsia" w:ascii="黑体" w:hAnsi="黑体" w:eastAsia="黑体"/>
        </w:rPr>
      </w:pPr>
      <w:r>
        <w:rPr>
          <w:rFonts w:ascii="黑体" w:hAnsi="黑体" w:eastAsia="黑体"/>
        </w:rPr>
        <w:t>食品低温配送中心</w:t>
      </w:r>
      <w:bookmarkStart w:id="53" w:name="_Hlk232843505"/>
      <w:r>
        <w:rPr>
          <w:rFonts w:hint="eastAsia" w:ascii="黑体" w:hAnsi="黑体" w:eastAsia="黑体"/>
        </w:rPr>
        <w:t xml:space="preserve"> food </w:t>
      </w:r>
      <w:r>
        <w:rPr>
          <w:rFonts w:ascii="黑体" w:hAnsi="黑体" w:eastAsia="黑体"/>
        </w:rPr>
        <w:t>low temperature distribution center</w:t>
      </w:r>
      <w:bookmarkEnd w:id="53"/>
    </w:p>
    <w:p w14:paraId="495E4EE1">
      <w:pPr>
        <w:pStyle w:val="66"/>
        <w:spacing w:line="340" w:lineRule="exact"/>
        <w:ind w:firstLine="420"/>
        <w:rPr>
          <w:lang w:bidi="zh-CN"/>
        </w:rPr>
      </w:pPr>
      <w:r>
        <w:rPr>
          <w:lang w:bidi="zh-CN"/>
        </w:rPr>
        <w:t>具备</w:t>
      </w:r>
      <w:r>
        <w:rPr>
          <w:rFonts w:hint="eastAsia"/>
          <w:lang w:bidi="zh-CN"/>
        </w:rPr>
        <w:t>完善的</w:t>
      </w:r>
      <w:r>
        <w:rPr>
          <w:lang w:bidi="zh-CN"/>
        </w:rPr>
        <w:t>配送基础设施、信息网络和温控设施设备，便捷</w:t>
      </w:r>
      <w:r>
        <w:rPr>
          <w:rFonts w:hint="eastAsia"/>
          <w:lang w:bidi="zh-CN"/>
        </w:rPr>
        <w:t>连接</w:t>
      </w:r>
      <w:r>
        <w:rPr>
          <w:lang w:bidi="zh-CN"/>
        </w:rPr>
        <w:t>对外交通运输网络，对食品进行收货、存储、分拣、加工</w:t>
      </w:r>
      <w:r>
        <w:rPr>
          <w:rFonts w:hint="eastAsia"/>
          <w:lang w:bidi="zh-CN"/>
        </w:rPr>
        <w:t>、中转</w:t>
      </w:r>
      <w:r>
        <w:rPr>
          <w:lang w:bidi="zh-CN"/>
        </w:rPr>
        <w:t>和配送等作业，并向末端客户提供短距离、小批量、多批次配送服务的专业化配送场所。</w:t>
      </w:r>
    </w:p>
    <w:p w14:paraId="4204E6AE">
      <w:pPr>
        <w:pStyle w:val="97"/>
        <w:numPr>
          <w:ilvl w:val="2"/>
          <w:numId w:val="3"/>
        </w:numPr>
        <w:rPr>
          <w:rFonts w:hint="eastAsia" w:ascii="黑体" w:hAnsi="黑体" w:eastAsia="黑体"/>
        </w:rPr>
      </w:pPr>
    </w:p>
    <w:p w14:paraId="51126BFD">
      <w:pPr>
        <w:pStyle w:val="66"/>
        <w:spacing w:line="340" w:lineRule="exact"/>
        <w:ind w:right="658" w:rightChars="274" w:firstLine="420"/>
        <w:rPr>
          <w:rFonts w:hint="eastAsia" w:ascii="黑体" w:hAnsi="黑体" w:eastAsia="黑体"/>
        </w:rPr>
      </w:pPr>
      <w:r>
        <w:rPr>
          <w:rFonts w:hint="eastAsia" w:ascii="黑体" w:hAnsi="黑体" w:eastAsia="黑体"/>
        </w:rPr>
        <w:t>控温</w:t>
      </w:r>
      <w:r>
        <w:rPr>
          <w:rFonts w:ascii="黑体" w:hAnsi="黑体" w:eastAsia="黑体"/>
        </w:rPr>
        <w:t xml:space="preserve">封闭站台 </w:t>
      </w:r>
      <w:r>
        <w:rPr>
          <w:rFonts w:ascii="黑体" w:hAnsi="黑体" w:eastAsia="黑体"/>
          <w:lang w:bidi="zh-CN"/>
        </w:rPr>
        <w:t xml:space="preserve">temperature-controlled enclosed </w:t>
      </w:r>
      <w:r>
        <w:rPr>
          <w:rFonts w:ascii="黑体" w:hAnsi="黑体" w:eastAsia="黑体"/>
        </w:rPr>
        <w:t>platform</w:t>
      </w:r>
    </w:p>
    <w:p w14:paraId="4AC5AD63">
      <w:pPr>
        <w:pStyle w:val="66"/>
        <w:spacing w:line="340" w:lineRule="exact"/>
        <w:ind w:firstLine="420"/>
        <w:rPr>
          <w:rFonts w:ascii="Times New Roman"/>
        </w:rPr>
      </w:pPr>
      <w:r>
        <w:rPr>
          <w:rFonts w:hint="eastAsia" w:ascii="Times New Roman"/>
        </w:rPr>
        <w:t>库房直接与外部相连、有外部车辆装卸口的，并采用人工制冷降温的非敞开式</w:t>
      </w:r>
      <w:r>
        <w:rPr>
          <w:rFonts w:ascii="Times New Roman"/>
        </w:rPr>
        <w:t>站台</w:t>
      </w:r>
      <w:r>
        <w:rPr>
          <w:rFonts w:hint="eastAsia" w:ascii="Times New Roman"/>
        </w:rPr>
        <w:t>或穿堂</w:t>
      </w:r>
      <w:r>
        <w:rPr>
          <w:rFonts w:ascii="Times New Roman"/>
        </w:rPr>
        <w:t>，</w:t>
      </w:r>
      <w:r>
        <w:rPr>
          <w:rFonts w:hint="eastAsia" w:ascii="Times New Roman"/>
        </w:rPr>
        <w:t>兼具</w:t>
      </w:r>
      <w:r>
        <w:rPr>
          <w:rFonts w:ascii="Times New Roman"/>
        </w:rPr>
        <w:t>收发货、分拣</w:t>
      </w:r>
      <w:r>
        <w:rPr>
          <w:rFonts w:hint="eastAsia" w:ascii="Times New Roman"/>
        </w:rPr>
        <w:t>和</w:t>
      </w:r>
      <w:r>
        <w:rPr>
          <w:rFonts w:ascii="Times New Roman"/>
        </w:rPr>
        <w:t>暂存</w:t>
      </w:r>
      <w:r>
        <w:rPr>
          <w:rFonts w:hint="eastAsia" w:ascii="Times New Roman"/>
        </w:rPr>
        <w:t>功能</w:t>
      </w:r>
      <w:r>
        <w:rPr>
          <w:rFonts w:ascii="Times New Roman"/>
        </w:rPr>
        <w:t>。</w:t>
      </w:r>
    </w:p>
    <w:p w14:paraId="1C999F0F">
      <w:pPr>
        <w:pStyle w:val="64"/>
        <w:numPr>
          <w:ilvl w:val="1"/>
          <w:numId w:val="3"/>
        </w:numPr>
        <w:spacing w:before="240" w:after="240"/>
      </w:pPr>
      <w:bookmarkStart w:id="54" w:name="_Toc240808143"/>
      <w:r>
        <w:rPr>
          <w:rFonts w:hint="eastAsia"/>
        </w:rPr>
        <w:t>总体</w:t>
      </w:r>
      <w:r>
        <w:rPr>
          <w:color w:val="000000" w:themeColor="text1"/>
          <w:szCs w:val="21"/>
          <w14:textFill>
            <w14:solidFill>
              <w14:schemeClr w14:val="tx1"/>
            </w14:solidFill>
          </w14:textFill>
        </w:rPr>
        <w:t>原则</w:t>
      </w:r>
      <w:bookmarkEnd w:id="54"/>
    </w:p>
    <w:p w14:paraId="4C77D219">
      <w:pPr>
        <w:pStyle w:val="97"/>
        <w:numPr>
          <w:ilvl w:val="2"/>
          <w:numId w:val="3"/>
        </w:numPr>
        <w:rPr>
          <w:color w:val="000000" w:themeColor="text1"/>
          <w:lang w:bidi="zh-CN"/>
          <w14:textFill>
            <w14:solidFill>
              <w14:schemeClr w14:val="tx1"/>
            </w14:solidFill>
          </w14:textFill>
        </w:rPr>
      </w:pPr>
      <w:bookmarkStart w:id="55" w:name="OLE_LINK1"/>
      <w:r>
        <w:rPr>
          <w:rFonts w:hint="eastAsia"/>
          <w:color w:val="000000" w:themeColor="text1"/>
          <w:lang w:bidi="zh-CN"/>
          <w14:textFill>
            <w14:solidFill>
              <w14:schemeClr w14:val="tx1"/>
            </w14:solidFill>
          </w14:textFill>
        </w:rPr>
        <w:t>食品低温配送中心规划设计宜遵循安全可靠、绿色低碳、环境友好、经济合理、先进适用的原则，协同优化建筑围护结构、制冷系统、照明系统、装卸系统、自动化设备、能源系统，并开展全生命周期能耗与碳排放评估。</w:t>
      </w:r>
    </w:p>
    <w:bookmarkEnd w:id="55"/>
    <w:p w14:paraId="2BC3E625">
      <w:pPr>
        <w:pStyle w:val="97"/>
        <w:numPr>
          <w:ilvl w:val="2"/>
          <w:numId w:val="3"/>
        </w:numPr>
        <w:rPr>
          <w:color w:val="000000" w:themeColor="text1"/>
          <w:lang w:bidi="zh-CN"/>
          <w14:textFill>
            <w14:solidFill>
              <w14:schemeClr w14:val="tx1"/>
            </w14:solidFill>
          </w14:textFill>
        </w:rPr>
      </w:pPr>
      <w:r>
        <w:rPr>
          <w:rFonts w:hint="eastAsia"/>
          <w:color w:val="000000" w:themeColor="text1"/>
          <w:lang w:bidi="zh-CN"/>
          <w14:textFill>
            <w14:solidFill>
              <w14:schemeClr w14:val="tx1"/>
            </w14:solidFill>
          </w14:textFill>
        </w:rPr>
        <w:t>宜科学确定用地及建设规模，统筹规划、分步实施并具有一定的可拓展性。</w:t>
      </w:r>
    </w:p>
    <w:p w14:paraId="1560E3D9">
      <w:pPr>
        <w:pStyle w:val="97"/>
        <w:numPr>
          <w:ilvl w:val="2"/>
          <w:numId w:val="3"/>
        </w:numPr>
        <w:rPr>
          <w:color w:val="000000" w:themeColor="text1"/>
          <w:lang w:bidi="zh-CN"/>
          <w14:textFill>
            <w14:solidFill>
              <w14:schemeClr w14:val="tx1"/>
            </w14:solidFill>
          </w14:textFill>
        </w:rPr>
      </w:pPr>
      <w:r>
        <w:rPr>
          <w:rFonts w:hint="eastAsia"/>
          <w:color w:val="000000" w:themeColor="text1"/>
          <w:lang w:bidi="zh-CN"/>
          <w14:textFill>
            <w14:solidFill>
              <w14:schemeClr w14:val="tx1"/>
            </w14:solidFill>
          </w14:textFill>
        </w:rPr>
        <w:t>宜开展物流工艺、建筑空间、自动化设备和信息系统的一体化设计，实现作业可视化、温控可追溯、设备可联动、运营可优化。</w:t>
      </w:r>
    </w:p>
    <w:p w14:paraId="4111BD78">
      <w:pPr>
        <w:pStyle w:val="97"/>
        <w:numPr>
          <w:ilvl w:val="2"/>
          <w:numId w:val="3"/>
        </w:numPr>
        <w:rPr>
          <w:color w:val="000000" w:themeColor="text1"/>
          <w:lang w:bidi="zh-CN"/>
          <w14:textFill>
            <w14:solidFill>
              <w14:schemeClr w14:val="tx1"/>
            </w14:solidFill>
          </w14:textFill>
        </w:rPr>
      </w:pPr>
      <w:r>
        <w:rPr>
          <w:rFonts w:hint="eastAsia"/>
          <w:color w:val="000000" w:themeColor="text1"/>
          <w:lang w:bidi="zh-CN"/>
          <w14:textFill>
            <w14:solidFill>
              <w14:schemeClr w14:val="tx1"/>
            </w14:solidFill>
          </w14:textFill>
        </w:rPr>
        <w:t>根据公共卫生事件、极端天气、能源中断、交通中断、订单峰值波动等异常场景，配置必要的应急供电、制冷冗余、异常品隔离、应急作业通道和信息化应急管理功能。</w:t>
      </w:r>
    </w:p>
    <w:p w14:paraId="609E82ED">
      <w:pPr>
        <w:pStyle w:val="64"/>
        <w:numPr>
          <w:ilvl w:val="1"/>
          <w:numId w:val="3"/>
        </w:numPr>
        <w:spacing w:before="240" w:after="240"/>
      </w:pPr>
      <w:bookmarkStart w:id="56" w:name="_Toc232865836"/>
      <w:bookmarkEnd w:id="56"/>
      <w:bookmarkStart w:id="57" w:name="_Toc232866375"/>
      <w:bookmarkEnd w:id="57"/>
      <w:bookmarkStart w:id="58" w:name="_Toc232866522"/>
      <w:bookmarkEnd w:id="58"/>
      <w:bookmarkStart w:id="59" w:name="_Toc233028735"/>
      <w:bookmarkEnd w:id="59"/>
      <w:bookmarkStart w:id="60" w:name="_Toc232866093"/>
      <w:bookmarkEnd w:id="60"/>
      <w:bookmarkStart w:id="61" w:name="_Toc232866092"/>
      <w:bookmarkEnd w:id="61"/>
      <w:bookmarkStart w:id="62" w:name="_Toc233028734"/>
      <w:bookmarkEnd w:id="62"/>
      <w:bookmarkStart w:id="63" w:name="_Toc232865785"/>
      <w:bookmarkEnd w:id="63"/>
      <w:bookmarkStart w:id="64" w:name="_Toc233028733"/>
      <w:bookmarkEnd w:id="64"/>
      <w:bookmarkStart w:id="65" w:name="_Toc232865835"/>
      <w:bookmarkEnd w:id="65"/>
      <w:bookmarkStart w:id="66" w:name="_Toc232866374"/>
      <w:bookmarkEnd w:id="66"/>
      <w:bookmarkStart w:id="67" w:name="_Toc232866521"/>
      <w:bookmarkEnd w:id="67"/>
      <w:bookmarkStart w:id="68" w:name="_Toc232865784"/>
      <w:bookmarkEnd w:id="68"/>
      <w:bookmarkStart w:id="69" w:name="_Toc240808144"/>
      <w:r>
        <w:t>规划设计</w:t>
      </w:r>
      <w:bookmarkEnd w:id="69"/>
    </w:p>
    <w:p w14:paraId="3C11B23D">
      <w:pPr>
        <w:pStyle w:val="97"/>
        <w:numPr>
          <w:ilvl w:val="2"/>
          <w:numId w:val="3"/>
        </w:numPr>
        <w:spacing w:line="360" w:lineRule="auto"/>
        <w:rPr>
          <w:rFonts w:hint="eastAsia" w:hAnsi="黑体"/>
        </w:rPr>
      </w:pPr>
      <w:r>
        <w:rPr>
          <w:rFonts w:hint="eastAsia" w:ascii="黑体" w:hAnsi="黑体" w:eastAsia="黑体"/>
        </w:rPr>
        <w:t>需求调研</w:t>
      </w:r>
    </w:p>
    <w:p w14:paraId="0DEF9678">
      <w:pPr>
        <w:pStyle w:val="66"/>
        <w:ind w:firstLine="420"/>
        <w:rPr>
          <w:rFonts w:ascii="Times New Roman"/>
          <w:color w:val="000000" w:themeColor="text1"/>
          <w14:textFill>
            <w14:solidFill>
              <w14:schemeClr w14:val="tx1"/>
            </w14:solidFill>
          </w14:textFill>
        </w:rPr>
      </w:pPr>
      <w:r>
        <w:rPr>
          <w:rFonts w:hint="eastAsia" w:ascii="Times New Roman"/>
          <w:color w:val="000000" w:themeColor="text1"/>
          <w14:textFill>
            <w14:solidFill>
              <w14:schemeClr w14:val="tx1"/>
            </w14:solidFill>
          </w14:textFill>
        </w:rPr>
        <w:t>根据项目单位发展规划，建设食品低温配送中心宜从</w:t>
      </w:r>
      <w:r>
        <w:rPr>
          <w:rFonts w:ascii="Times New Roman"/>
          <w:color w:val="000000" w:themeColor="text1"/>
          <w14:textFill>
            <w14:solidFill>
              <w14:schemeClr w14:val="tx1"/>
            </w14:solidFill>
          </w14:textFill>
        </w:rPr>
        <w:t>城市规划、产业布局、客户分布、交通条件、基础设施、环保等方面进行</w:t>
      </w:r>
      <w:r>
        <w:rPr>
          <w:rFonts w:hint="eastAsia" w:ascii="Times New Roman"/>
          <w:color w:val="000000" w:themeColor="text1"/>
          <w14:textFill>
            <w14:solidFill>
              <w14:schemeClr w14:val="tx1"/>
            </w14:solidFill>
          </w14:textFill>
        </w:rPr>
        <w:t>需求调研</w:t>
      </w:r>
      <w:r>
        <w:rPr>
          <w:rFonts w:ascii="Times New Roman"/>
          <w:color w:val="000000" w:themeColor="text1"/>
          <w14:textFill>
            <w14:solidFill>
              <w14:schemeClr w14:val="tx1"/>
            </w14:solidFill>
          </w14:textFill>
        </w:rPr>
        <w:t>。</w:t>
      </w:r>
    </w:p>
    <w:p w14:paraId="3B6C37EF">
      <w:pPr>
        <w:pStyle w:val="97"/>
        <w:numPr>
          <w:ilvl w:val="2"/>
          <w:numId w:val="3"/>
        </w:numPr>
        <w:spacing w:before="120" w:beforeLines="50" w:line="360" w:lineRule="auto"/>
        <w:rPr>
          <w:rFonts w:hint="eastAsia" w:hAnsi="黑体"/>
        </w:rPr>
      </w:pPr>
      <w:r>
        <w:rPr>
          <w:rFonts w:hint="eastAsia" w:ascii="黑体" w:hAnsi="黑体" w:eastAsia="黑体"/>
        </w:rPr>
        <w:t>项目定位</w:t>
      </w:r>
    </w:p>
    <w:p w14:paraId="41AAAA75">
      <w:pPr>
        <w:pStyle w:val="66"/>
        <w:ind w:firstLine="420"/>
        <w:rPr>
          <w:rFonts w:ascii="Times New Roman"/>
        </w:rPr>
      </w:pPr>
      <w:r>
        <w:rPr>
          <w:rFonts w:hint="eastAsia" w:ascii="Times New Roman"/>
        </w:rPr>
        <w:t>宜对产业、市场、客群等调研数据</w:t>
      </w:r>
      <w:r>
        <w:rPr>
          <w:rFonts w:hint="eastAsia" w:ascii="Times New Roman"/>
          <w:color w:val="000000" w:themeColor="text1"/>
          <w14:textFill>
            <w14:solidFill>
              <w14:schemeClr w14:val="tx1"/>
            </w14:solidFill>
          </w14:textFill>
        </w:rPr>
        <w:t>进行</w:t>
      </w:r>
      <w:r>
        <w:rPr>
          <w:rFonts w:hint="eastAsia" w:ascii="Times New Roman"/>
        </w:rPr>
        <w:t>综合分析，确定项目的市场定位、目标客群和功能定位。</w:t>
      </w:r>
    </w:p>
    <w:p w14:paraId="4B5A3427">
      <w:pPr>
        <w:pStyle w:val="97"/>
        <w:numPr>
          <w:ilvl w:val="2"/>
          <w:numId w:val="3"/>
        </w:numPr>
        <w:spacing w:before="120" w:beforeLines="50" w:line="360" w:lineRule="auto"/>
        <w:rPr>
          <w:rFonts w:hint="eastAsia" w:ascii="黑体" w:hAnsi="黑体" w:eastAsia="黑体"/>
        </w:rPr>
      </w:pPr>
      <w:r>
        <w:rPr>
          <w:rFonts w:hint="eastAsia" w:ascii="黑体" w:hAnsi="黑体" w:eastAsia="黑体"/>
        </w:rPr>
        <w:t>项目选址</w:t>
      </w:r>
    </w:p>
    <w:p w14:paraId="5E8F9A5A">
      <w:pPr>
        <w:pStyle w:val="66"/>
        <w:ind w:firstLine="420"/>
        <w:rPr>
          <w:rFonts w:ascii="Times New Roman"/>
        </w:rPr>
      </w:pPr>
      <w:r>
        <w:rPr>
          <w:rFonts w:hint="eastAsia" w:ascii="Times New Roman"/>
        </w:rPr>
        <w:t>宜</w:t>
      </w:r>
      <w:r>
        <w:rPr>
          <w:rFonts w:ascii="Times New Roman"/>
        </w:rPr>
        <w:t>根据需求调研、项目定位</w:t>
      </w:r>
      <w:r>
        <w:rPr>
          <w:rFonts w:hint="eastAsia" w:ascii="Times New Roman"/>
        </w:rPr>
        <w:t>，结合配送半径、</w:t>
      </w:r>
      <w:r>
        <w:rPr>
          <w:rFonts w:hint="eastAsia"/>
        </w:rPr>
        <w:t>车辆限行</w:t>
      </w:r>
      <w:r>
        <w:rPr>
          <w:rFonts w:hint="eastAsia" w:ascii="Times New Roman"/>
        </w:rPr>
        <w:t>、</w:t>
      </w:r>
      <w:r>
        <w:rPr>
          <w:rFonts w:hint="eastAsia"/>
        </w:rPr>
        <w:t>能源供给、污染源、地质稳定性等因素，</w:t>
      </w:r>
      <w:r>
        <w:rPr>
          <w:rFonts w:ascii="Times New Roman"/>
        </w:rPr>
        <w:t>进行</w:t>
      </w:r>
      <w:r>
        <w:rPr>
          <w:rFonts w:hint="eastAsia" w:ascii="Times New Roman"/>
        </w:rPr>
        <w:t>食品</w:t>
      </w:r>
      <w:r>
        <w:rPr>
          <w:rFonts w:ascii="Times New Roman"/>
        </w:rPr>
        <w:t>低温配送</w:t>
      </w:r>
      <w:r>
        <w:rPr>
          <w:rFonts w:ascii="Times New Roman"/>
          <w:color w:val="000000" w:themeColor="text1"/>
          <w14:textFill>
            <w14:solidFill>
              <w14:schemeClr w14:val="tx1"/>
            </w14:solidFill>
          </w14:textFill>
        </w:rPr>
        <w:t>中心</w:t>
      </w:r>
      <w:r>
        <w:rPr>
          <w:rFonts w:ascii="Times New Roman"/>
        </w:rPr>
        <w:t>的建设选址</w:t>
      </w:r>
      <w:r>
        <w:rPr>
          <w:rFonts w:hint="eastAsia" w:ascii="Times New Roman"/>
        </w:rPr>
        <w:t>。</w:t>
      </w:r>
    </w:p>
    <w:p w14:paraId="462154E6">
      <w:pPr>
        <w:pStyle w:val="97"/>
        <w:numPr>
          <w:ilvl w:val="2"/>
          <w:numId w:val="3"/>
        </w:numPr>
        <w:spacing w:before="120" w:beforeLines="50" w:line="360" w:lineRule="auto"/>
        <w:rPr>
          <w:rFonts w:hint="eastAsia" w:ascii="黑体" w:hAnsi="黑体" w:eastAsia="黑体"/>
        </w:rPr>
      </w:pPr>
      <w:r>
        <w:rPr>
          <w:rFonts w:hint="eastAsia" w:ascii="黑体" w:hAnsi="黑体" w:eastAsia="黑体"/>
        </w:rPr>
        <w:t>总体规划</w:t>
      </w:r>
    </w:p>
    <w:p w14:paraId="07C2CC1B">
      <w:pPr>
        <w:pStyle w:val="66"/>
        <w:ind w:firstLine="420"/>
        <w:rPr>
          <w:rFonts w:ascii="Times New Roman"/>
        </w:rPr>
      </w:pPr>
      <w:r>
        <w:rPr>
          <w:rFonts w:ascii="Times New Roman"/>
        </w:rPr>
        <w:t>依据项目定位和用地规划，</w:t>
      </w:r>
      <w:r>
        <w:rPr>
          <w:rFonts w:hint="eastAsia" w:ascii="Times New Roman"/>
        </w:rPr>
        <w:t>结合</w:t>
      </w:r>
      <w:r>
        <w:rPr>
          <w:rFonts w:ascii="Times New Roman"/>
        </w:rPr>
        <w:t>气候条件、地势状况、交通条件、消防等因素，对</w:t>
      </w:r>
      <w:r>
        <w:t>主体</w:t>
      </w:r>
      <w:r>
        <w:rPr>
          <w:rFonts w:hint="eastAsia"/>
        </w:rPr>
        <w:t>设施</w:t>
      </w:r>
      <w:r>
        <w:t>、核心功能区、</w:t>
      </w:r>
      <w:r>
        <w:rPr>
          <w:rFonts w:hint="eastAsia" w:ascii="Times New Roman"/>
          <w:color w:val="000000" w:themeColor="text1"/>
          <w14:textFill>
            <w14:solidFill>
              <w14:schemeClr w14:val="tx1"/>
            </w14:solidFill>
          </w14:textFill>
        </w:rPr>
        <w:t>温控系统</w:t>
      </w:r>
      <w:r>
        <w:rPr>
          <w:rFonts w:hint="eastAsia"/>
          <w:color w:val="000000" w:themeColor="text1"/>
          <w14:textFill>
            <w14:solidFill>
              <w14:schemeClr w14:val="tx1"/>
            </w14:solidFill>
          </w14:textFill>
        </w:rPr>
        <w:t>、</w:t>
      </w:r>
      <w:r>
        <w:t>道路及动线、</w:t>
      </w:r>
      <w:r>
        <w:rPr>
          <w:rFonts w:hint="eastAsia"/>
        </w:rPr>
        <w:t>作业设备</w:t>
      </w:r>
      <w:r>
        <w:t>、</w:t>
      </w:r>
      <w:r>
        <w:rPr>
          <w:rFonts w:hint="eastAsia"/>
          <w:color w:val="000000" w:themeColor="text1"/>
          <w14:textFill>
            <w14:solidFill>
              <w14:schemeClr w14:val="tx1"/>
            </w14:solidFill>
          </w14:textFill>
        </w:rPr>
        <w:t>能源与节能环</w:t>
      </w:r>
      <w:r>
        <w:rPr>
          <w:rFonts w:hint="eastAsia"/>
        </w:rPr>
        <w:t>保、安全与卫生、</w:t>
      </w:r>
      <w:r>
        <w:t>信息化</w:t>
      </w:r>
      <w:r>
        <w:rPr>
          <w:rFonts w:hint="eastAsia"/>
        </w:rPr>
        <w:t>与智能化</w:t>
      </w:r>
      <w:r>
        <w:t>等</w:t>
      </w:r>
      <w:r>
        <w:rPr>
          <w:rFonts w:hint="eastAsia"/>
        </w:rPr>
        <w:t>因素</w:t>
      </w:r>
      <w:r>
        <w:rPr>
          <w:rFonts w:ascii="Times New Roman"/>
        </w:rPr>
        <w:t>进行合理布局。</w:t>
      </w:r>
    </w:p>
    <w:p w14:paraId="571CE566">
      <w:pPr>
        <w:pStyle w:val="64"/>
        <w:numPr>
          <w:ilvl w:val="1"/>
          <w:numId w:val="3"/>
        </w:numPr>
        <w:spacing w:before="240" w:after="240"/>
      </w:pPr>
      <w:bookmarkStart w:id="70" w:name="_Toc237260253"/>
      <w:bookmarkEnd w:id="70"/>
      <w:bookmarkStart w:id="71" w:name="_Toc240808145"/>
      <w:r>
        <w:rPr>
          <w:rFonts w:hint="eastAsia"/>
        </w:rPr>
        <w:t>主体设施</w:t>
      </w:r>
      <w:bookmarkEnd w:id="71"/>
    </w:p>
    <w:p w14:paraId="0A995FBC">
      <w:pPr>
        <w:pStyle w:val="97"/>
        <w:numPr>
          <w:ilvl w:val="2"/>
          <w:numId w:val="3"/>
        </w:numPr>
        <w:spacing w:before="120" w:beforeLines="50" w:line="360" w:lineRule="auto"/>
        <w:rPr>
          <w:rFonts w:hint="eastAsia" w:ascii="黑体" w:hAnsi="黑体" w:eastAsia="黑体"/>
        </w:rPr>
      </w:pPr>
      <w:r>
        <w:rPr>
          <w:rFonts w:hint="eastAsia" w:ascii="黑体" w:hAnsi="黑体" w:eastAsia="黑体"/>
        </w:rPr>
        <w:t>冷库建筑</w:t>
      </w:r>
    </w:p>
    <w:p w14:paraId="38FA756E">
      <w:pPr>
        <w:pStyle w:val="98"/>
        <w:numPr>
          <w:ilvl w:val="3"/>
          <w:numId w:val="3"/>
        </w:numPr>
        <w:tabs>
          <w:tab w:val="clear" w:pos="1646"/>
          <w:tab w:val="clear" w:pos="2678"/>
        </w:tabs>
        <w:ind w:left="0"/>
        <w:rPr>
          <w:rFonts w:ascii="Times New Roman"/>
        </w:rPr>
      </w:pPr>
      <w:r>
        <w:rPr>
          <w:rFonts w:hint="eastAsia" w:ascii="Times New Roman"/>
        </w:rPr>
        <w:t>建筑形式可根据用地条件、作业模式、自动化水平和投资运营成本，综合对比成本、绿色、效率最优方案，选择单层冷库、多层冷库、坡道冷库、自动化立体冷库、装配式冷库、前置型低温仓等形式。</w:t>
      </w:r>
    </w:p>
    <w:p w14:paraId="7B77D765">
      <w:pPr>
        <w:pStyle w:val="98"/>
        <w:numPr>
          <w:ilvl w:val="3"/>
          <w:numId w:val="3"/>
        </w:numPr>
        <w:tabs>
          <w:tab w:val="clear" w:pos="1646"/>
          <w:tab w:val="clear" w:pos="2678"/>
        </w:tabs>
        <w:ind w:left="0"/>
        <w:rPr>
          <w:rFonts w:ascii="Times New Roman"/>
        </w:rPr>
      </w:pPr>
      <w:r>
        <w:rPr>
          <w:rFonts w:ascii="Times New Roman"/>
        </w:rPr>
        <w:t>根据食品品类及存储方式</w:t>
      </w:r>
      <w:r>
        <w:rPr>
          <w:rFonts w:hint="eastAsia" w:ascii="Times New Roman"/>
        </w:rPr>
        <w:t>、</w:t>
      </w:r>
      <w:r>
        <w:rPr>
          <w:rFonts w:ascii="Times New Roman"/>
        </w:rPr>
        <w:t>仓库面积、容积率、货架类型、作业机械等因素，确定实际冷库的高度。</w:t>
      </w:r>
    </w:p>
    <w:p w14:paraId="3F8F471C">
      <w:pPr>
        <w:pStyle w:val="98"/>
        <w:numPr>
          <w:ilvl w:val="3"/>
          <w:numId w:val="3"/>
        </w:numPr>
        <w:tabs>
          <w:tab w:val="clear" w:pos="1646"/>
          <w:tab w:val="clear" w:pos="2678"/>
        </w:tabs>
        <w:ind w:left="0"/>
        <w:rPr>
          <w:rFonts w:ascii="Times New Roman"/>
        </w:rPr>
      </w:pPr>
      <w:r>
        <w:rPr>
          <w:rFonts w:hint="eastAsia" w:ascii="Times New Roman"/>
        </w:rPr>
        <w:t>冷库温度设计在满足</w:t>
      </w:r>
      <w:r>
        <w:rPr>
          <w:rFonts w:ascii="Times New Roman"/>
        </w:rPr>
        <w:t>食品</w:t>
      </w:r>
      <w:r>
        <w:rPr>
          <w:rFonts w:hint="eastAsia" w:ascii="Times New Roman"/>
        </w:rPr>
        <w:t>品质</w:t>
      </w:r>
      <w:r>
        <w:rPr>
          <w:rFonts w:ascii="Times New Roman"/>
        </w:rPr>
        <w:t>要求</w:t>
      </w:r>
      <w:r>
        <w:rPr>
          <w:rFonts w:hint="eastAsia" w:ascii="Times New Roman"/>
        </w:rPr>
        <w:t>的基础上，</w:t>
      </w:r>
      <w:r>
        <w:rPr>
          <w:rFonts w:ascii="Times New Roman"/>
        </w:rPr>
        <w:t>宜设置温度可调的功能区域。</w:t>
      </w:r>
      <w:r>
        <w:rPr>
          <w:rFonts w:hint="eastAsia" w:ascii="Times New Roman"/>
        </w:rPr>
        <w:t>冷库建筑规划为二层以上时，垂直方向宜设计为同温区。</w:t>
      </w:r>
    </w:p>
    <w:p w14:paraId="76A7DC1A">
      <w:pPr>
        <w:pStyle w:val="98"/>
        <w:numPr>
          <w:ilvl w:val="3"/>
          <w:numId w:val="3"/>
        </w:numPr>
        <w:tabs>
          <w:tab w:val="clear" w:pos="1646"/>
          <w:tab w:val="clear" w:pos="2678"/>
        </w:tabs>
        <w:ind w:left="0"/>
        <w:rPr>
          <w:rFonts w:hint="eastAsia" w:hAnsi="宋体"/>
        </w:rPr>
      </w:pPr>
      <w:r>
        <w:rPr>
          <w:rFonts w:hint="eastAsia" w:hAnsi="宋体"/>
        </w:rPr>
        <w:t>冷库和制冷系统执行</w:t>
      </w:r>
      <w:r>
        <w:rPr>
          <w:rFonts w:hAnsi="宋体"/>
        </w:rPr>
        <w:t>GB 50016</w:t>
      </w:r>
      <w:r>
        <w:rPr>
          <w:rFonts w:hint="eastAsia" w:hAnsi="宋体"/>
        </w:rPr>
        <w:t>、</w:t>
      </w:r>
      <w:r>
        <w:rPr>
          <w:rFonts w:hAnsi="宋体"/>
        </w:rPr>
        <w:t>GB 50072</w:t>
      </w:r>
      <w:r>
        <w:rPr>
          <w:rFonts w:hint="eastAsia"/>
          <w:color w:val="000000" w:themeColor="text1"/>
          <w14:textFill>
            <w14:solidFill>
              <w14:schemeClr w14:val="tx1"/>
            </w14:solidFill>
          </w14:textFill>
        </w:rPr>
        <w:t>—</w:t>
      </w:r>
      <w:r>
        <w:rPr>
          <w:rFonts w:hAnsi="宋体"/>
          <w:kern w:val="2"/>
          <w:szCs w:val="21"/>
        </w:rPr>
        <w:t>2021</w:t>
      </w:r>
      <w:r>
        <w:rPr>
          <w:rFonts w:hAnsi="宋体"/>
        </w:rPr>
        <w:t>、</w:t>
      </w:r>
      <w:r>
        <w:rPr>
          <w:rFonts w:hint="eastAsia" w:hAnsi="宋体"/>
        </w:rPr>
        <w:t>GB 51157的规定，宜依据</w:t>
      </w:r>
      <w:r>
        <w:rPr>
          <w:rFonts w:hAnsi="宋体"/>
        </w:rPr>
        <w:t>GB/T 28581</w:t>
      </w:r>
      <w:r>
        <w:rPr>
          <w:rFonts w:hint="eastAsia" w:hAnsi="宋体"/>
        </w:rPr>
        <w:t>规划设计。冷库主体结构宜采用大柱网形式。首层地坪宜采用绿色、高效的架空地坪方案。</w:t>
      </w:r>
    </w:p>
    <w:p w14:paraId="20B3D6F8">
      <w:pPr>
        <w:pStyle w:val="98"/>
        <w:numPr>
          <w:ilvl w:val="3"/>
          <w:numId w:val="3"/>
        </w:numPr>
        <w:tabs>
          <w:tab w:val="clear" w:pos="1646"/>
          <w:tab w:val="clear" w:pos="2678"/>
        </w:tabs>
        <w:ind w:left="0"/>
        <w:rPr>
          <w:rFonts w:ascii="Times New Roman"/>
        </w:rPr>
      </w:pPr>
      <w:r>
        <w:rPr>
          <w:rFonts w:ascii="Times New Roman"/>
        </w:rPr>
        <w:t>宜</w:t>
      </w:r>
      <w:r>
        <w:rPr>
          <w:rFonts w:hint="eastAsia" w:ascii="Times New Roman"/>
        </w:rPr>
        <w:t>根据</w:t>
      </w:r>
      <w:r>
        <w:rPr>
          <w:rFonts w:ascii="Times New Roman"/>
        </w:rPr>
        <w:t>托盘</w:t>
      </w:r>
      <w:r>
        <w:rPr>
          <w:rFonts w:hint="eastAsia" w:ascii="Times New Roman"/>
        </w:rPr>
        <w:t>、周转</w:t>
      </w:r>
      <w:r>
        <w:rPr>
          <w:rFonts w:hint="eastAsia" w:hAnsi="宋体"/>
        </w:rPr>
        <w:t>箱、笼车、料箱、保温箱等标准化载具规划设计</w:t>
      </w:r>
      <w:r>
        <w:rPr>
          <w:rFonts w:hAnsi="宋体"/>
        </w:rPr>
        <w:t>货架、叉车</w:t>
      </w:r>
      <w:r>
        <w:rPr>
          <w:rFonts w:hint="eastAsia" w:hAnsi="宋体"/>
        </w:rPr>
        <w:t>、堆垛机、穿梭车、输送线、自动导引车（</w:t>
      </w:r>
      <w:r>
        <w:rPr>
          <w:rFonts w:hAnsi="宋体"/>
        </w:rPr>
        <w:t>AGV</w:t>
      </w:r>
      <w:r>
        <w:rPr>
          <w:rFonts w:hint="eastAsia" w:hAnsi="宋体"/>
        </w:rPr>
        <w:t>）、自主移动机器人（</w:t>
      </w:r>
      <w:r>
        <w:rPr>
          <w:rFonts w:hAnsi="宋体"/>
        </w:rPr>
        <w:t>AMR</w:t>
      </w:r>
      <w:r>
        <w:rPr>
          <w:rFonts w:hint="eastAsia" w:hAnsi="宋体"/>
        </w:rPr>
        <w:t>）系统</w:t>
      </w:r>
      <w:r>
        <w:rPr>
          <w:rFonts w:hAnsi="宋体"/>
        </w:rPr>
        <w:t>。</w:t>
      </w:r>
    </w:p>
    <w:p w14:paraId="2E4AB5F2">
      <w:pPr>
        <w:pStyle w:val="97"/>
        <w:numPr>
          <w:ilvl w:val="2"/>
          <w:numId w:val="3"/>
        </w:numPr>
        <w:spacing w:before="120" w:beforeLines="50" w:line="360" w:lineRule="auto"/>
        <w:rPr>
          <w:rFonts w:hint="eastAsia" w:ascii="黑体" w:hAnsi="黑体" w:eastAsia="黑体"/>
        </w:rPr>
      </w:pPr>
      <w:r>
        <w:rPr>
          <w:rFonts w:hint="eastAsia" w:ascii="黑体" w:hAnsi="黑体" w:eastAsia="黑体"/>
        </w:rPr>
        <w:t>控温封闭站台</w:t>
      </w:r>
    </w:p>
    <w:p w14:paraId="0332D431">
      <w:pPr>
        <w:pStyle w:val="98"/>
        <w:numPr>
          <w:ilvl w:val="3"/>
          <w:numId w:val="3"/>
        </w:numPr>
        <w:tabs>
          <w:tab w:val="clear" w:pos="1646"/>
          <w:tab w:val="clear" w:pos="2678"/>
        </w:tabs>
        <w:ind w:left="0"/>
        <w:rPr>
          <w:rFonts w:ascii="Times New Roman"/>
          <w:kern w:val="2"/>
          <w:szCs w:val="21"/>
        </w:rPr>
      </w:pPr>
      <w:r>
        <w:rPr>
          <w:rFonts w:ascii="Times New Roman"/>
          <w:kern w:val="2"/>
          <w:szCs w:val="21"/>
        </w:rPr>
        <w:t>车辆停靠站台方式</w:t>
      </w:r>
      <w:r>
        <w:rPr>
          <w:rFonts w:hint="eastAsia" w:hAnsi="宋体"/>
          <w:kern w:val="2"/>
          <w:szCs w:val="21"/>
        </w:rPr>
        <w:t>宜</w:t>
      </w:r>
      <w:r>
        <w:rPr>
          <w:rFonts w:hAnsi="宋体"/>
          <w:kern w:val="2"/>
          <w:szCs w:val="21"/>
        </w:rPr>
        <w:t>采用多种模式，</w:t>
      </w:r>
      <w:r>
        <w:rPr>
          <w:rFonts w:hint="eastAsia" w:hAnsi="宋体"/>
          <w:kern w:val="2"/>
          <w:szCs w:val="21"/>
        </w:rPr>
        <w:t>包括但不限于</w:t>
      </w:r>
      <w:r>
        <w:rPr>
          <w:rFonts w:hAnsi="宋体"/>
          <w:kern w:val="2"/>
          <w:szCs w:val="21"/>
        </w:rPr>
        <w:t>垂直停靠、30°停靠、45°停靠、平行停靠、镶嵌式停靠，</w:t>
      </w:r>
      <w:r>
        <w:rPr>
          <w:rFonts w:hint="eastAsia" w:hAnsi="宋体"/>
          <w:kern w:val="2"/>
          <w:szCs w:val="21"/>
        </w:rPr>
        <w:t>宜</w:t>
      </w:r>
      <w:r>
        <w:rPr>
          <w:rFonts w:hAnsi="宋体"/>
          <w:kern w:val="2"/>
          <w:szCs w:val="21"/>
        </w:rPr>
        <w:t>为带尾板配送车辆设置站台尾板插槽。</w:t>
      </w:r>
    </w:p>
    <w:p w14:paraId="50031605">
      <w:pPr>
        <w:pStyle w:val="98"/>
        <w:numPr>
          <w:ilvl w:val="3"/>
          <w:numId w:val="3"/>
        </w:numPr>
        <w:tabs>
          <w:tab w:val="clear" w:pos="1646"/>
          <w:tab w:val="clear" w:pos="2678"/>
        </w:tabs>
        <w:ind w:left="0"/>
        <w:rPr>
          <w:rFonts w:ascii="Times New Roman"/>
          <w:kern w:val="2"/>
          <w:szCs w:val="21"/>
        </w:rPr>
      </w:pPr>
      <w:r>
        <w:rPr>
          <w:rFonts w:hint="eastAsia" w:ascii="Times New Roman"/>
          <w:kern w:val="2"/>
          <w:szCs w:val="21"/>
        </w:rPr>
        <w:t>站台</w:t>
      </w:r>
      <w:r>
        <w:rPr>
          <w:rFonts w:hint="eastAsia" w:hAnsi="宋体"/>
          <w:kern w:val="2"/>
          <w:szCs w:val="21"/>
        </w:rPr>
        <w:t>高度、宽度和面积及罩棚执行</w:t>
      </w:r>
      <w:r>
        <w:rPr>
          <w:rFonts w:hAnsi="宋体"/>
          <w:kern w:val="2"/>
          <w:szCs w:val="21"/>
        </w:rPr>
        <w:t>GB 50072</w:t>
      </w:r>
      <w:r>
        <w:rPr>
          <w:rFonts w:hint="eastAsia"/>
          <w:color w:val="000000" w:themeColor="text1"/>
          <w14:textFill>
            <w14:solidFill>
              <w14:schemeClr w14:val="tx1"/>
            </w14:solidFill>
          </w14:textFill>
        </w:rPr>
        <w:t>—</w:t>
      </w:r>
      <w:r>
        <w:rPr>
          <w:rFonts w:hAnsi="宋体"/>
          <w:kern w:val="2"/>
          <w:szCs w:val="21"/>
        </w:rPr>
        <w:t>2021中4.2</w:t>
      </w:r>
      <w:r>
        <w:rPr>
          <w:rFonts w:hint="eastAsia" w:hAnsi="宋体"/>
          <w:kern w:val="2"/>
          <w:szCs w:val="21"/>
        </w:rPr>
        <w:t>的规定。</w:t>
      </w:r>
    </w:p>
    <w:p w14:paraId="21709CD4">
      <w:pPr>
        <w:pStyle w:val="98"/>
        <w:numPr>
          <w:ilvl w:val="3"/>
          <w:numId w:val="3"/>
        </w:numPr>
        <w:tabs>
          <w:tab w:val="clear" w:pos="1646"/>
          <w:tab w:val="clear" w:pos="2678"/>
        </w:tabs>
        <w:ind w:left="0"/>
        <w:rPr>
          <w:rFonts w:ascii="Times New Roman"/>
          <w:kern w:val="2"/>
          <w:szCs w:val="21"/>
        </w:rPr>
      </w:pPr>
      <w:r>
        <w:rPr>
          <w:rFonts w:hint="eastAsia" w:hAnsi="宋体"/>
          <w:kern w:val="2"/>
          <w:szCs w:val="21"/>
        </w:rPr>
        <w:t>照明设施宜依据GB/T 28581</w:t>
      </w:r>
      <w:r>
        <w:rPr>
          <w:rFonts w:hint="eastAsia"/>
          <w:color w:val="000000" w:themeColor="text1"/>
          <w14:textFill>
            <w14:solidFill>
              <w14:schemeClr w14:val="tx1"/>
            </w14:solidFill>
          </w14:textFill>
        </w:rPr>
        <w:t>—</w:t>
      </w:r>
      <w:r>
        <w:rPr>
          <w:rFonts w:hint="eastAsia" w:hAnsi="宋体"/>
          <w:kern w:val="2"/>
          <w:szCs w:val="21"/>
        </w:rPr>
        <w:t>2021中6.1规划设计。</w:t>
      </w:r>
    </w:p>
    <w:p w14:paraId="783D47C8">
      <w:pPr>
        <w:pStyle w:val="98"/>
        <w:numPr>
          <w:ilvl w:val="3"/>
          <w:numId w:val="3"/>
        </w:numPr>
        <w:tabs>
          <w:tab w:val="clear" w:pos="1646"/>
          <w:tab w:val="clear" w:pos="2678"/>
        </w:tabs>
        <w:ind w:left="0"/>
        <w:rPr>
          <w:rFonts w:hint="eastAsia" w:hAnsi="宋体"/>
          <w:kern w:val="2"/>
          <w:szCs w:val="21"/>
        </w:rPr>
      </w:pPr>
      <w:r>
        <w:rPr>
          <w:rFonts w:hint="eastAsia" w:hAnsi="宋体"/>
          <w:kern w:val="2"/>
          <w:szCs w:val="21"/>
        </w:rPr>
        <w:t>站台围护结构执行</w:t>
      </w:r>
      <w:r>
        <w:rPr>
          <w:rFonts w:hAnsi="宋体"/>
          <w:kern w:val="2"/>
          <w:szCs w:val="21"/>
        </w:rPr>
        <w:t>GB 50072</w:t>
      </w:r>
      <w:r>
        <w:rPr>
          <w:rFonts w:hint="eastAsia"/>
          <w:color w:val="000000" w:themeColor="text1"/>
          <w14:textFill>
            <w14:solidFill>
              <w14:schemeClr w14:val="tx1"/>
            </w14:solidFill>
          </w14:textFill>
        </w:rPr>
        <w:t>—</w:t>
      </w:r>
      <w:r>
        <w:rPr>
          <w:rFonts w:hAnsi="宋体"/>
          <w:kern w:val="2"/>
          <w:szCs w:val="21"/>
        </w:rPr>
        <w:t>2021中4.2和GB 51157</w:t>
      </w:r>
      <w:r>
        <w:rPr>
          <w:rFonts w:hint="eastAsia" w:hAnsi="宋体"/>
          <w:color w:val="000000" w:themeColor="text1"/>
          <w14:textFill>
            <w14:solidFill>
              <w14:schemeClr w14:val="tx1"/>
            </w14:solidFill>
          </w14:textFill>
        </w:rPr>
        <w:t>—</w:t>
      </w:r>
      <w:r>
        <w:rPr>
          <w:rFonts w:hAnsi="宋体"/>
          <w:kern w:val="2"/>
          <w:szCs w:val="21"/>
        </w:rPr>
        <w:t>2016</w:t>
      </w:r>
      <w:r>
        <w:rPr>
          <w:rFonts w:hint="eastAsia" w:hAnsi="宋体"/>
          <w:kern w:val="2"/>
          <w:szCs w:val="21"/>
        </w:rPr>
        <w:t>中</w:t>
      </w:r>
      <w:r>
        <w:rPr>
          <w:rFonts w:hAnsi="宋体"/>
          <w:kern w:val="2"/>
          <w:szCs w:val="21"/>
        </w:rPr>
        <w:t>9.4</w:t>
      </w:r>
      <w:r>
        <w:rPr>
          <w:rFonts w:hint="eastAsia" w:hAnsi="宋体"/>
          <w:kern w:val="2"/>
          <w:szCs w:val="21"/>
        </w:rPr>
        <w:t>的规定。</w:t>
      </w:r>
    </w:p>
    <w:p w14:paraId="61F7AA88">
      <w:pPr>
        <w:pStyle w:val="97"/>
        <w:numPr>
          <w:ilvl w:val="2"/>
          <w:numId w:val="3"/>
        </w:numPr>
        <w:spacing w:before="120" w:beforeLines="50" w:line="360" w:lineRule="auto"/>
        <w:rPr>
          <w:rFonts w:hint="eastAsia" w:ascii="黑体" w:hAnsi="黑体" w:eastAsia="黑体"/>
        </w:rPr>
      </w:pPr>
      <w:r>
        <w:rPr>
          <w:rFonts w:hint="eastAsia" w:ascii="黑体" w:hAnsi="黑体" w:eastAsia="黑体"/>
        </w:rPr>
        <w:t>作业车间</w:t>
      </w:r>
    </w:p>
    <w:p w14:paraId="75560C61">
      <w:pPr>
        <w:pStyle w:val="98"/>
        <w:numPr>
          <w:ilvl w:val="3"/>
          <w:numId w:val="3"/>
        </w:numPr>
        <w:tabs>
          <w:tab w:val="clear" w:pos="1646"/>
          <w:tab w:val="clear" w:pos="2678"/>
        </w:tabs>
        <w:ind w:left="0"/>
        <w:rPr>
          <w:rFonts w:ascii="Times New Roman"/>
        </w:rPr>
      </w:pPr>
      <w:r>
        <w:rPr>
          <w:rFonts w:hint="eastAsia" w:ascii="Times New Roman"/>
        </w:rPr>
        <w:t>作业车间</w:t>
      </w:r>
      <w:r>
        <w:rPr>
          <w:rFonts w:hint="eastAsia" w:hAnsi="宋体"/>
        </w:rPr>
        <w:t>依据GB 14881</w:t>
      </w:r>
      <w:r>
        <w:rPr>
          <w:rFonts w:hint="eastAsia" w:hAnsi="宋体"/>
          <w:color w:val="000000" w:themeColor="text1"/>
          <w14:textFill>
            <w14:solidFill>
              <w14:schemeClr w14:val="tx1"/>
            </w14:solidFill>
          </w14:textFill>
        </w:rPr>
        <w:t>—</w:t>
      </w:r>
      <w:r>
        <w:rPr>
          <w:rFonts w:hint="eastAsia" w:hAnsi="宋体"/>
          <w:kern w:val="2"/>
          <w:szCs w:val="21"/>
        </w:rPr>
        <w:t>2025第4章</w:t>
      </w:r>
      <w:r>
        <w:rPr>
          <w:rFonts w:hint="eastAsia" w:hAnsi="宋体"/>
        </w:rPr>
        <w:t>规划设计。</w:t>
      </w:r>
    </w:p>
    <w:p w14:paraId="0125D170">
      <w:pPr>
        <w:pStyle w:val="98"/>
        <w:numPr>
          <w:ilvl w:val="3"/>
          <w:numId w:val="3"/>
        </w:numPr>
        <w:tabs>
          <w:tab w:val="clear" w:pos="1646"/>
          <w:tab w:val="clear" w:pos="2678"/>
        </w:tabs>
        <w:ind w:left="0"/>
        <w:rPr>
          <w:rFonts w:ascii="Times New Roman"/>
        </w:rPr>
      </w:pPr>
      <w:r>
        <w:rPr>
          <w:rFonts w:ascii="Times New Roman"/>
        </w:rPr>
        <w:t>宜根据食品品类、作业工艺、温湿度要求、卫生要求及作业规模进行布局。涉及流通加工的作业车间，按照食品加工过程的清洁程度合理划分作业区，并采取有效的分离或分隔措施。</w:t>
      </w:r>
    </w:p>
    <w:p w14:paraId="22E07441">
      <w:pPr>
        <w:pStyle w:val="98"/>
        <w:numPr>
          <w:ilvl w:val="3"/>
          <w:numId w:val="3"/>
        </w:numPr>
        <w:tabs>
          <w:tab w:val="clear" w:pos="1646"/>
          <w:tab w:val="clear" w:pos="2678"/>
        </w:tabs>
        <w:ind w:left="0"/>
        <w:rPr>
          <w:rFonts w:ascii="Times New Roman"/>
        </w:rPr>
      </w:pPr>
      <w:r>
        <w:rPr>
          <w:rFonts w:ascii="Times New Roman"/>
        </w:rPr>
        <w:t>宜就近设置洗手、消毒等人员卫生设施</w:t>
      </w:r>
      <w:r>
        <w:rPr>
          <w:rFonts w:hint="eastAsia" w:ascii="Times New Roman"/>
        </w:rPr>
        <w:t>及</w:t>
      </w:r>
      <w:r>
        <w:rPr>
          <w:rFonts w:ascii="Times New Roman"/>
        </w:rPr>
        <w:t>现场办公室、更衣室、候工室。候工室面积</w:t>
      </w:r>
      <w:r>
        <w:rPr>
          <w:rFonts w:hint="eastAsia" w:ascii="Times New Roman"/>
        </w:rPr>
        <w:t>可</w:t>
      </w:r>
      <w:r>
        <w:rPr>
          <w:rFonts w:ascii="Times New Roman"/>
        </w:rPr>
        <w:t>按最大班次作业人数确定。</w:t>
      </w:r>
    </w:p>
    <w:p w14:paraId="17D8AECB">
      <w:pPr>
        <w:pStyle w:val="98"/>
        <w:numPr>
          <w:ilvl w:val="3"/>
          <w:numId w:val="3"/>
        </w:numPr>
        <w:tabs>
          <w:tab w:val="clear" w:pos="1646"/>
          <w:tab w:val="clear" w:pos="2678"/>
        </w:tabs>
        <w:ind w:left="0"/>
        <w:rPr>
          <w:rFonts w:ascii="Times New Roman"/>
        </w:rPr>
      </w:pPr>
      <w:r>
        <w:rPr>
          <w:rFonts w:hint="eastAsia" w:ascii="Times New Roman"/>
        </w:rPr>
        <w:t>宜</w:t>
      </w:r>
      <w:r>
        <w:rPr>
          <w:rFonts w:ascii="Times New Roman"/>
        </w:rPr>
        <w:t>根据作业需要配置温湿度调控、通风、照明、给排水、清洁消毒及废弃物暂存等设施</w:t>
      </w:r>
      <w:r>
        <w:rPr>
          <w:rFonts w:hint="eastAsia" w:ascii="Times New Roman"/>
        </w:rPr>
        <w:t>设备</w:t>
      </w:r>
      <w:r>
        <w:rPr>
          <w:rFonts w:ascii="Times New Roman"/>
        </w:rPr>
        <w:t>。通风气流组织</w:t>
      </w:r>
      <w:r>
        <w:rPr>
          <w:rFonts w:hint="eastAsia" w:ascii="Times New Roman"/>
        </w:rPr>
        <w:t>不</w:t>
      </w:r>
      <w:r>
        <w:rPr>
          <w:rFonts w:ascii="Times New Roman"/>
        </w:rPr>
        <w:t>宜由清洁程度较低区域流向清洁程度较高区域</w:t>
      </w:r>
      <w:r>
        <w:rPr>
          <w:rFonts w:hint="eastAsia" w:ascii="Times New Roman"/>
        </w:rPr>
        <w:t>。</w:t>
      </w:r>
    </w:p>
    <w:p w14:paraId="6EB6642B">
      <w:pPr>
        <w:pStyle w:val="97"/>
        <w:numPr>
          <w:ilvl w:val="2"/>
          <w:numId w:val="3"/>
        </w:numPr>
        <w:spacing w:before="120" w:beforeLines="50" w:line="360" w:lineRule="auto"/>
        <w:rPr>
          <w:rFonts w:hint="eastAsia" w:ascii="黑体" w:hAnsi="黑体" w:eastAsia="黑体"/>
        </w:rPr>
      </w:pPr>
      <w:r>
        <w:rPr>
          <w:rFonts w:hint="eastAsia" w:ascii="黑体" w:hAnsi="黑体" w:eastAsia="黑体"/>
        </w:rPr>
        <w:t>检测用房</w:t>
      </w:r>
    </w:p>
    <w:p w14:paraId="662DB394">
      <w:pPr>
        <w:pStyle w:val="98"/>
        <w:numPr>
          <w:ilvl w:val="3"/>
          <w:numId w:val="3"/>
        </w:numPr>
        <w:tabs>
          <w:tab w:val="clear" w:pos="1646"/>
          <w:tab w:val="clear" w:pos="2678"/>
        </w:tabs>
        <w:ind w:left="0"/>
        <w:rPr>
          <w:rFonts w:ascii="Times New Roman"/>
        </w:rPr>
      </w:pPr>
      <w:r>
        <w:rPr>
          <w:rFonts w:hint="eastAsia" w:ascii="Times New Roman"/>
        </w:rPr>
        <w:t>检测用房宜依</w:t>
      </w:r>
      <w:r>
        <w:rPr>
          <w:rFonts w:hint="eastAsia" w:hAnsi="宋体"/>
        </w:rPr>
        <w:t>据</w:t>
      </w:r>
      <w:r>
        <w:rPr>
          <w:rFonts w:hAnsi="宋体"/>
        </w:rPr>
        <w:t>GB</w:t>
      </w:r>
      <w:r>
        <w:rPr>
          <w:rFonts w:hint="eastAsia" w:hAnsi="宋体"/>
        </w:rPr>
        <w:t>/</w:t>
      </w:r>
      <w:r>
        <w:rPr>
          <w:rFonts w:hAnsi="宋体"/>
        </w:rPr>
        <w:t>T 32146.1</w:t>
      </w:r>
      <w:r>
        <w:rPr>
          <w:rFonts w:hint="eastAsia" w:hAnsi="宋体"/>
        </w:rPr>
        <w:t>和GB/T 32146.3的要求规划设计。</w:t>
      </w:r>
    </w:p>
    <w:p w14:paraId="024F10DB">
      <w:pPr>
        <w:pStyle w:val="98"/>
        <w:numPr>
          <w:ilvl w:val="3"/>
          <w:numId w:val="3"/>
        </w:numPr>
        <w:tabs>
          <w:tab w:val="clear" w:pos="1646"/>
          <w:tab w:val="clear" w:pos="2678"/>
        </w:tabs>
        <w:ind w:left="0"/>
        <w:rPr>
          <w:rFonts w:ascii="Times New Roman"/>
        </w:rPr>
      </w:pPr>
      <w:r>
        <w:rPr>
          <w:rFonts w:ascii="Times New Roman"/>
        </w:rPr>
        <w:t>宜根据业务规模、食品品类和检</w:t>
      </w:r>
      <w:r>
        <w:rPr>
          <w:rFonts w:hint="eastAsia" w:ascii="Times New Roman"/>
        </w:rPr>
        <w:t>测</w:t>
      </w:r>
      <w:r>
        <w:rPr>
          <w:rFonts w:ascii="Times New Roman"/>
        </w:rPr>
        <w:t>方式，承担入库验收检测、抽样、样品暂存、待检隔离、不合格品判定辅助、退货检</w:t>
      </w:r>
      <w:r>
        <w:rPr>
          <w:rFonts w:hint="eastAsia" w:ascii="Times New Roman"/>
        </w:rPr>
        <w:t>测</w:t>
      </w:r>
      <w:r>
        <w:rPr>
          <w:rFonts w:ascii="Times New Roman"/>
        </w:rPr>
        <w:t>及留样等功能。</w:t>
      </w:r>
    </w:p>
    <w:p w14:paraId="2E465E1A">
      <w:pPr>
        <w:pStyle w:val="98"/>
        <w:numPr>
          <w:ilvl w:val="3"/>
          <w:numId w:val="3"/>
        </w:numPr>
        <w:tabs>
          <w:tab w:val="clear" w:pos="1646"/>
          <w:tab w:val="clear" w:pos="2678"/>
        </w:tabs>
        <w:ind w:left="0"/>
        <w:rPr>
          <w:rFonts w:ascii="Times New Roman"/>
        </w:rPr>
      </w:pPr>
      <w:r>
        <w:rPr>
          <w:rFonts w:ascii="Times New Roman"/>
        </w:rPr>
        <w:t>涉及挥发性、腐蚀性或有害试剂使用的检</w:t>
      </w:r>
      <w:r>
        <w:rPr>
          <w:rFonts w:hint="eastAsia" w:ascii="Times New Roman"/>
        </w:rPr>
        <w:t>测</w:t>
      </w:r>
      <w:r>
        <w:rPr>
          <w:rFonts w:ascii="Times New Roman"/>
        </w:rPr>
        <w:t>区域，</w:t>
      </w:r>
      <w:r>
        <w:rPr>
          <w:rFonts w:hint="eastAsia" w:ascii="Times New Roman"/>
        </w:rPr>
        <w:t>宜</w:t>
      </w:r>
      <w:r>
        <w:rPr>
          <w:rFonts w:ascii="Times New Roman"/>
        </w:rPr>
        <w:t>根据风险</w:t>
      </w:r>
      <w:r>
        <w:rPr>
          <w:rFonts w:hint="eastAsia" w:ascii="Times New Roman"/>
        </w:rPr>
        <w:t>等级</w:t>
      </w:r>
      <w:r>
        <w:rPr>
          <w:rFonts w:ascii="Times New Roman"/>
        </w:rPr>
        <w:t>设置局部排风、通风及相应的安全防护设施；检</w:t>
      </w:r>
      <w:r>
        <w:rPr>
          <w:rFonts w:hint="eastAsia" w:ascii="Times New Roman"/>
        </w:rPr>
        <w:t>测</w:t>
      </w:r>
      <w:r>
        <w:rPr>
          <w:rFonts w:ascii="Times New Roman"/>
        </w:rPr>
        <w:t>用排水</w:t>
      </w:r>
      <w:r>
        <w:rPr>
          <w:rFonts w:hint="eastAsia" w:ascii="Times New Roman"/>
        </w:rPr>
        <w:t>不宜</w:t>
      </w:r>
      <w:r>
        <w:rPr>
          <w:rFonts w:ascii="Times New Roman"/>
        </w:rPr>
        <w:t>对食品作业区域造成污染。</w:t>
      </w:r>
    </w:p>
    <w:p w14:paraId="5C94DC4B">
      <w:pPr>
        <w:pStyle w:val="98"/>
        <w:numPr>
          <w:ilvl w:val="3"/>
          <w:numId w:val="3"/>
        </w:numPr>
        <w:tabs>
          <w:tab w:val="clear" w:pos="1646"/>
          <w:tab w:val="clear" w:pos="2678"/>
        </w:tabs>
        <w:ind w:left="0"/>
        <w:rPr>
          <w:rFonts w:ascii="Times New Roman"/>
        </w:rPr>
      </w:pPr>
      <w:r>
        <w:rPr>
          <w:rFonts w:ascii="Times New Roman"/>
        </w:rPr>
        <w:t>宜设置样品、检</w:t>
      </w:r>
      <w:r>
        <w:rPr>
          <w:rFonts w:hint="eastAsia" w:ascii="Times New Roman"/>
        </w:rPr>
        <w:t>测</w:t>
      </w:r>
      <w:r>
        <w:rPr>
          <w:rFonts w:ascii="Times New Roman"/>
        </w:rPr>
        <w:t>状态和检</w:t>
      </w:r>
      <w:r>
        <w:rPr>
          <w:rFonts w:hint="eastAsia" w:ascii="Times New Roman"/>
        </w:rPr>
        <w:t>测</w:t>
      </w:r>
      <w:r>
        <w:rPr>
          <w:rFonts w:ascii="Times New Roman"/>
        </w:rPr>
        <w:t>记录的标识与信息记录设施。</w:t>
      </w:r>
    </w:p>
    <w:p w14:paraId="55D419B6">
      <w:pPr>
        <w:pStyle w:val="97"/>
        <w:numPr>
          <w:ilvl w:val="2"/>
          <w:numId w:val="3"/>
        </w:numPr>
        <w:spacing w:before="120" w:beforeLines="50" w:line="360" w:lineRule="auto"/>
        <w:rPr>
          <w:rFonts w:hint="eastAsia" w:ascii="黑体" w:hAnsi="黑体" w:eastAsia="黑体"/>
        </w:rPr>
      </w:pPr>
      <w:r>
        <w:rPr>
          <w:rFonts w:hint="eastAsia" w:ascii="黑体" w:hAnsi="黑体" w:eastAsia="黑体"/>
        </w:rPr>
        <w:t>配套用房</w:t>
      </w:r>
    </w:p>
    <w:p w14:paraId="44EB4D9C">
      <w:pPr>
        <w:pStyle w:val="98"/>
        <w:numPr>
          <w:ilvl w:val="3"/>
          <w:numId w:val="3"/>
        </w:numPr>
        <w:tabs>
          <w:tab w:val="clear" w:pos="1646"/>
          <w:tab w:val="clear" w:pos="2678"/>
        </w:tabs>
        <w:ind w:left="0"/>
        <w:rPr>
          <w:rFonts w:ascii="Times New Roman"/>
        </w:rPr>
      </w:pPr>
      <w:r>
        <w:rPr>
          <w:rFonts w:ascii="Times New Roman"/>
        </w:rPr>
        <w:t>宜根据业务需求</w:t>
      </w:r>
      <w:r>
        <w:rPr>
          <w:rFonts w:hint="eastAsia" w:ascii="Times New Roman"/>
        </w:rPr>
        <w:t>配置配套用房，包括但不限于</w:t>
      </w:r>
      <w:r>
        <w:rPr>
          <w:rFonts w:ascii="Times New Roman"/>
        </w:rPr>
        <w:t>办公管理、现场调度、设备维修、制冷机房、机电用房、周转器具清洗</w:t>
      </w:r>
      <w:r>
        <w:rPr>
          <w:rFonts w:hint="eastAsia" w:ascii="Times New Roman"/>
        </w:rPr>
        <w:t>消毒</w:t>
      </w:r>
      <w:r>
        <w:rPr>
          <w:rFonts w:ascii="Times New Roman"/>
        </w:rPr>
        <w:t>、废弃物收集处理、人员生活服务。</w:t>
      </w:r>
    </w:p>
    <w:p w14:paraId="120D2221">
      <w:pPr>
        <w:pStyle w:val="98"/>
        <w:numPr>
          <w:ilvl w:val="3"/>
          <w:numId w:val="3"/>
        </w:numPr>
        <w:tabs>
          <w:tab w:val="clear" w:pos="1646"/>
          <w:tab w:val="clear" w:pos="2678"/>
        </w:tabs>
        <w:ind w:left="0"/>
        <w:rPr>
          <w:rFonts w:ascii="Times New Roman"/>
        </w:rPr>
      </w:pPr>
      <w:r>
        <w:rPr>
          <w:rFonts w:hint="eastAsia" w:ascii="Times New Roman"/>
        </w:rPr>
        <w:t>开展</w:t>
      </w:r>
      <w:r>
        <w:rPr>
          <w:rFonts w:ascii="Times New Roman"/>
        </w:rPr>
        <w:t>对外业务的</w:t>
      </w:r>
      <w:r>
        <w:rPr>
          <w:rFonts w:hint="eastAsia" w:ascii="Times New Roman"/>
        </w:rPr>
        <w:t>用房</w:t>
      </w:r>
      <w:r>
        <w:rPr>
          <w:rFonts w:ascii="Times New Roman"/>
        </w:rPr>
        <w:t>宜设在首层。</w:t>
      </w:r>
    </w:p>
    <w:p w14:paraId="1CE31845">
      <w:pPr>
        <w:pStyle w:val="98"/>
        <w:numPr>
          <w:ilvl w:val="3"/>
          <w:numId w:val="3"/>
        </w:numPr>
        <w:tabs>
          <w:tab w:val="clear" w:pos="1646"/>
          <w:tab w:val="clear" w:pos="2678"/>
        </w:tabs>
        <w:ind w:left="0"/>
        <w:rPr>
          <w:rFonts w:ascii="Times New Roman"/>
        </w:rPr>
      </w:pPr>
      <w:r>
        <w:rPr>
          <w:rFonts w:hint="eastAsia" w:ascii="Times New Roman"/>
        </w:rPr>
        <w:t>充电设施宜设置在室外停车区域</w:t>
      </w:r>
      <w:r>
        <w:rPr>
          <w:rFonts w:hint="eastAsia" w:hAnsi="宋体"/>
        </w:rPr>
        <w:t>或独立的专用区域，并与冷库、物流作业区、可燃物堆放区、废弃物处理区及人员密集场所合理分隔；充电设备、车位、道路及建筑物的布局宜依据</w:t>
      </w:r>
      <w:r>
        <w:rPr>
          <w:rFonts w:hAnsi="宋体"/>
        </w:rPr>
        <w:t>GB/T 50966—2024</w:t>
      </w:r>
      <w:r>
        <w:rPr>
          <w:rFonts w:hint="eastAsia" w:hAnsi="宋体"/>
        </w:rPr>
        <w:t>第</w:t>
      </w:r>
      <w:r>
        <w:rPr>
          <w:rFonts w:hAnsi="宋体"/>
        </w:rPr>
        <w:t>4</w:t>
      </w:r>
      <w:r>
        <w:rPr>
          <w:rFonts w:hint="eastAsia" w:hAnsi="宋体"/>
        </w:rPr>
        <w:t>章、第</w:t>
      </w:r>
      <w:r>
        <w:rPr>
          <w:rFonts w:hAnsi="宋体"/>
        </w:rPr>
        <w:t>10</w:t>
      </w:r>
      <w:r>
        <w:rPr>
          <w:rFonts w:hint="eastAsia" w:hAnsi="宋体"/>
        </w:rPr>
        <w:t>章和第</w:t>
      </w:r>
      <w:r>
        <w:rPr>
          <w:rFonts w:hAnsi="宋体"/>
        </w:rPr>
        <w:t>11</w:t>
      </w:r>
      <w:r>
        <w:rPr>
          <w:rFonts w:hint="eastAsia" w:hAnsi="宋体"/>
        </w:rPr>
        <w:t>章规划设计。</w:t>
      </w:r>
    </w:p>
    <w:p w14:paraId="4F26BF18">
      <w:pPr>
        <w:pStyle w:val="64"/>
        <w:numPr>
          <w:ilvl w:val="1"/>
          <w:numId w:val="3"/>
        </w:numPr>
        <w:spacing w:before="240" w:after="240"/>
      </w:pPr>
      <w:bookmarkStart w:id="72" w:name="_Toc240808146"/>
      <w:r>
        <w:t>核心功能区</w:t>
      </w:r>
      <w:bookmarkEnd w:id="72"/>
    </w:p>
    <w:p w14:paraId="1C7DE61F">
      <w:pPr>
        <w:pStyle w:val="97"/>
        <w:numPr>
          <w:ilvl w:val="2"/>
          <w:numId w:val="3"/>
        </w:numPr>
        <w:spacing w:before="120" w:beforeLines="50" w:line="360" w:lineRule="auto"/>
        <w:rPr>
          <w:rFonts w:hint="eastAsia" w:ascii="黑体" w:hAnsi="黑体" w:eastAsia="黑体"/>
        </w:rPr>
      </w:pPr>
      <w:r>
        <w:rPr>
          <w:rFonts w:hint="eastAsia" w:ascii="黑体" w:hAnsi="黑体" w:eastAsia="黑体"/>
        </w:rPr>
        <w:t>收发货区</w:t>
      </w:r>
    </w:p>
    <w:p w14:paraId="24F1E40B">
      <w:pPr>
        <w:pStyle w:val="98"/>
        <w:numPr>
          <w:ilvl w:val="3"/>
          <w:numId w:val="3"/>
        </w:numPr>
        <w:tabs>
          <w:tab w:val="clear" w:pos="1646"/>
          <w:tab w:val="clear" w:pos="2678"/>
        </w:tabs>
        <w:ind w:left="0"/>
        <w:rPr>
          <w:rFonts w:ascii="Times New Roman"/>
        </w:rPr>
      </w:pPr>
      <w:r>
        <w:rPr>
          <w:rFonts w:ascii="Times New Roman"/>
        </w:rPr>
        <w:t>收发货区宜设置在</w:t>
      </w:r>
      <w:r>
        <w:rPr>
          <w:rFonts w:hint="eastAsia" w:ascii="Times New Roman"/>
        </w:rPr>
        <w:t>控温</w:t>
      </w:r>
      <w:r>
        <w:rPr>
          <w:rFonts w:ascii="Times New Roman"/>
        </w:rPr>
        <w:t>封闭站台区域，根据进出货量、进出频次等确定收发货区面积大小，</w:t>
      </w:r>
      <w:r>
        <w:rPr>
          <w:rFonts w:hint="eastAsia" w:ascii="Times New Roman"/>
        </w:rPr>
        <w:t>宜根据</w:t>
      </w:r>
      <w:r>
        <w:rPr>
          <w:rFonts w:ascii="Times New Roman"/>
        </w:rPr>
        <w:t>配送食品的品质</w:t>
      </w:r>
      <w:r>
        <w:rPr>
          <w:rFonts w:hint="eastAsia" w:ascii="Times New Roman"/>
        </w:rPr>
        <w:t>要求设定</w:t>
      </w:r>
      <w:r>
        <w:rPr>
          <w:rFonts w:ascii="Times New Roman"/>
        </w:rPr>
        <w:t>温度。</w:t>
      </w:r>
    </w:p>
    <w:p w14:paraId="6EC636FC">
      <w:pPr>
        <w:pStyle w:val="98"/>
        <w:numPr>
          <w:ilvl w:val="3"/>
          <w:numId w:val="3"/>
        </w:numPr>
        <w:tabs>
          <w:tab w:val="clear" w:pos="1646"/>
          <w:tab w:val="clear" w:pos="2678"/>
        </w:tabs>
        <w:ind w:left="0"/>
        <w:rPr>
          <w:rFonts w:ascii="Times New Roman"/>
        </w:rPr>
      </w:pPr>
      <w:r>
        <w:rPr>
          <w:rFonts w:hint="eastAsia" w:ascii="Times New Roman"/>
        </w:rPr>
        <w:t>宜配备采集货物及货位条码标签信息的设施设备。</w:t>
      </w:r>
    </w:p>
    <w:p w14:paraId="45385C34">
      <w:pPr>
        <w:pStyle w:val="97"/>
        <w:numPr>
          <w:ilvl w:val="2"/>
          <w:numId w:val="3"/>
        </w:numPr>
        <w:spacing w:before="120" w:beforeLines="50" w:line="360" w:lineRule="auto"/>
        <w:rPr>
          <w:rFonts w:hint="eastAsia" w:ascii="黑体" w:hAnsi="黑体" w:eastAsia="黑体"/>
        </w:rPr>
      </w:pPr>
      <w:r>
        <w:rPr>
          <w:rFonts w:hint="eastAsia" w:ascii="黑体" w:hAnsi="黑体" w:eastAsia="黑体"/>
        </w:rPr>
        <w:t>预冷区</w:t>
      </w:r>
    </w:p>
    <w:p w14:paraId="1E361E12">
      <w:pPr>
        <w:pStyle w:val="98"/>
        <w:numPr>
          <w:ilvl w:val="3"/>
          <w:numId w:val="3"/>
        </w:numPr>
        <w:tabs>
          <w:tab w:val="clear" w:pos="1646"/>
          <w:tab w:val="clear" w:pos="2678"/>
        </w:tabs>
        <w:ind w:left="0"/>
        <w:rPr>
          <w:rFonts w:ascii="Times New Roman"/>
        </w:rPr>
      </w:pPr>
      <w:r>
        <w:rPr>
          <w:rFonts w:hint="eastAsia" w:ascii="Times New Roman"/>
        </w:rPr>
        <w:t>宜根据不同的食品业态设置预冷区。</w:t>
      </w:r>
    </w:p>
    <w:p w14:paraId="1D2C5096">
      <w:pPr>
        <w:pStyle w:val="98"/>
        <w:numPr>
          <w:ilvl w:val="3"/>
          <w:numId w:val="3"/>
        </w:numPr>
        <w:tabs>
          <w:tab w:val="clear" w:pos="1646"/>
          <w:tab w:val="clear" w:pos="2678"/>
        </w:tabs>
        <w:ind w:left="0"/>
        <w:rPr>
          <w:rFonts w:ascii="Times New Roman"/>
        </w:rPr>
      </w:pPr>
      <w:r>
        <w:rPr>
          <w:rFonts w:hint="eastAsia" w:ascii="Times New Roman"/>
        </w:rPr>
        <w:t>预冷方式宜</w:t>
      </w:r>
      <w:r>
        <w:rPr>
          <w:rFonts w:ascii="Times New Roman"/>
        </w:rPr>
        <w:t>采用冷风预冷、差压预冷、真空预冷、水预冷、冰预冷或其他与食品特性相适应的方式。</w:t>
      </w:r>
    </w:p>
    <w:p w14:paraId="481C5F3C">
      <w:pPr>
        <w:pStyle w:val="97"/>
        <w:numPr>
          <w:ilvl w:val="2"/>
          <w:numId w:val="3"/>
        </w:numPr>
        <w:spacing w:before="120" w:beforeLines="50" w:line="360" w:lineRule="auto"/>
        <w:rPr>
          <w:rFonts w:hint="eastAsia" w:ascii="黑体" w:hAnsi="黑体" w:eastAsia="黑体"/>
        </w:rPr>
      </w:pPr>
      <w:r>
        <w:rPr>
          <w:rFonts w:hint="eastAsia" w:ascii="黑体" w:hAnsi="黑体" w:eastAsia="黑体"/>
        </w:rPr>
        <w:t>存储区</w:t>
      </w:r>
    </w:p>
    <w:p w14:paraId="037E6B59">
      <w:pPr>
        <w:pStyle w:val="98"/>
        <w:numPr>
          <w:ilvl w:val="3"/>
          <w:numId w:val="3"/>
        </w:numPr>
        <w:tabs>
          <w:tab w:val="clear" w:pos="1646"/>
          <w:tab w:val="clear" w:pos="2678"/>
        </w:tabs>
        <w:ind w:left="0"/>
        <w:rPr>
          <w:rFonts w:ascii="Times New Roman"/>
        </w:rPr>
      </w:pPr>
      <w:r>
        <w:rPr>
          <w:rFonts w:ascii="Times New Roman"/>
        </w:rPr>
        <w:t>依据食品的不同存</w:t>
      </w:r>
      <w:r>
        <w:rPr>
          <w:rFonts w:hAnsi="宋体"/>
        </w:rPr>
        <w:t>储需求规划不同的存储区。</w:t>
      </w:r>
      <w:r>
        <w:rPr>
          <w:rFonts w:ascii="Times New Roman"/>
        </w:rPr>
        <w:t>存储区规模</w:t>
      </w:r>
      <w:r>
        <w:rPr>
          <w:rFonts w:hint="eastAsia" w:ascii="Times New Roman"/>
        </w:rPr>
        <w:t>宜</w:t>
      </w:r>
      <w:r>
        <w:rPr>
          <w:rFonts w:ascii="Times New Roman"/>
        </w:rPr>
        <w:t>根据存储量、品类、周转天数等因素确定。</w:t>
      </w:r>
    </w:p>
    <w:p w14:paraId="23E8F40D">
      <w:pPr>
        <w:pStyle w:val="98"/>
        <w:numPr>
          <w:ilvl w:val="3"/>
          <w:numId w:val="3"/>
        </w:numPr>
        <w:tabs>
          <w:tab w:val="clear" w:pos="1646"/>
          <w:tab w:val="clear" w:pos="2678"/>
        </w:tabs>
        <w:ind w:left="0"/>
        <w:rPr>
          <w:rFonts w:ascii="Times New Roman"/>
        </w:rPr>
      </w:pPr>
      <w:bookmarkStart w:id="73" w:name="_Hlk238921363"/>
      <w:r>
        <w:rPr>
          <w:rFonts w:hint="eastAsia" w:hAnsi="宋体"/>
        </w:rPr>
        <w:t>依据GB</w:t>
      </w:r>
      <w:r>
        <w:rPr>
          <w:rFonts w:hAnsi="宋体"/>
        </w:rPr>
        <w:t xml:space="preserve"> </w:t>
      </w:r>
      <w:r>
        <w:rPr>
          <w:rFonts w:hint="eastAsia" w:hAnsi="宋体"/>
        </w:rPr>
        <w:t>50072配置相应温区的制冷设施设备</w:t>
      </w:r>
      <w:bookmarkEnd w:id="73"/>
      <w:r>
        <w:rPr>
          <w:rFonts w:hint="eastAsia" w:hAnsi="宋体"/>
        </w:rPr>
        <w:t>。</w:t>
      </w:r>
    </w:p>
    <w:p w14:paraId="3AE74B79">
      <w:pPr>
        <w:pStyle w:val="97"/>
        <w:numPr>
          <w:ilvl w:val="2"/>
          <w:numId w:val="3"/>
        </w:numPr>
        <w:spacing w:before="120" w:beforeLines="50" w:line="360" w:lineRule="auto"/>
        <w:rPr>
          <w:rFonts w:hint="eastAsia" w:ascii="黑体" w:hAnsi="黑体" w:eastAsia="黑体"/>
        </w:rPr>
      </w:pPr>
      <w:bookmarkStart w:id="74" w:name="_Toc232865847"/>
      <w:bookmarkEnd w:id="74"/>
      <w:bookmarkStart w:id="75" w:name="_Toc232866105"/>
      <w:bookmarkEnd w:id="75"/>
      <w:bookmarkStart w:id="76" w:name="_Toc232866390"/>
      <w:bookmarkEnd w:id="76"/>
      <w:bookmarkStart w:id="77" w:name="_Toc233028749"/>
      <w:bookmarkEnd w:id="77"/>
      <w:bookmarkStart w:id="78" w:name="_Toc232865800"/>
      <w:bookmarkEnd w:id="78"/>
      <w:bookmarkStart w:id="79" w:name="_Toc233028748"/>
      <w:bookmarkEnd w:id="79"/>
      <w:bookmarkStart w:id="80" w:name="_Toc232866104"/>
      <w:bookmarkEnd w:id="80"/>
      <w:bookmarkStart w:id="81" w:name="_Toc233028746"/>
      <w:bookmarkEnd w:id="81"/>
      <w:bookmarkStart w:id="82" w:name="_Toc233028750"/>
      <w:bookmarkEnd w:id="82"/>
      <w:bookmarkStart w:id="83" w:name="_Toc232866109"/>
      <w:bookmarkEnd w:id="83"/>
      <w:bookmarkStart w:id="84" w:name="_Toc232866534"/>
      <w:bookmarkEnd w:id="84"/>
      <w:bookmarkStart w:id="85" w:name="_Toc233028751"/>
      <w:bookmarkEnd w:id="85"/>
      <w:bookmarkStart w:id="86" w:name="_Toc232865801"/>
      <w:bookmarkEnd w:id="86"/>
      <w:bookmarkStart w:id="87" w:name="_Toc232865796"/>
      <w:bookmarkEnd w:id="87"/>
      <w:bookmarkStart w:id="88" w:name="_Toc232866391"/>
      <w:bookmarkEnd w:id="88"/>
      <w:bookmarkStart w:id="89" w:name="_Toc232866536"/>
      <w:bookmarkEnd w:id="89"/>
      <w:bookmarkStart w:id="90" w:name="_Toc232866108"/>
      <w:bookmarkEnd w:id="90"/>
      <w:bookmarkStart w:id="91" w:name="_Toc232866389"/>
      <w:bookmarkEnd w:id="91"/>
      <w:bookmarkStart w:id="92" w:name="_Toc232866535"/>
      <w:bookmarkEnd w:id="92"/>
      <w:bookmarkStart w:id="93" w:name="_Toc232866538"/>
      <w:bookmarkEnd w:id="93"/>
      <w:bookmarkStart w:id="94" w:name="_Toc232865848"/>
      <w:bookmarkEnd w:id="94"/>
      <w:bookmarkStart w:id="95" w:name="_Toc232865849"/>
      <w:bookmarkEnd w:id="95"/>
      <w:bookmarkStart w:id="96" w:name="_Toc233028747"/>
      <w:bookmarkEnd w:id="96"/>
      <w:bookmarkStart w:id="97" w:name="_Toc232865850"/>
      <w:bookmarkEnd w:id="97"/>
      <w:bookmarkStart w:id="98" w:name="_Toc232866388"/>
      <w:bookmarkEnd w:id="98"/>
      <w:bookmarkStart w:id="99" w:name="_Toc232865799"/>
      <w:bookmarkEnd w:id="99"/>
      <w:bookmarkStart w:id="100" w:name="_Toc232865798"/>
      <w:bookmarkEnd w:id="100"/>
      <w:bookmarkStart w:id="101" w:name="_Toc232866106"/>
      <w:bookmarkEnd w:id="101"/>
      <w:bookmarkStart w:id="102" w:name="_Toc232866107"/>
      <w:bookmarkEnd w:id="102"/>
      <w:bookmarkStart w:id="103" w:name="_Toc232866387"/>
      <w:bookmarkEnd w:id="103"/>
      <w:bookmarkStart w:id="104" w:name="_Toc232865851"/>
      <w:bookmarkEnd w:id="104"/>
      <w:bookmarkStart w:id="105" w:name="_Toc232865852"/>
      <w:bookmarkEnd w:id="105"/>
      <w:bookmarkStart w:id="106" w:name="_Toc232865797"/>
      <w:bookmarkEnd w:id="106"/>
      <w:bookmarkStart w:id="107" w:name="_Toc232866386"/>
      <w:bookmarkEnd w:id="107"/>
      <w:bookmarkStart w:id="108" w:name="_Toc232866537"/>
      <w:bookmarkEnd w:id="108"/>
      <w:bookmarkStart w:id="109" w:name="_Toc232866533"/>
      <w:bookmarkEnd w:id="109"/>
      <w:r>
        <w:rPr>
          <w:rFonts w:hint="eastAsia" w:ascii="黑体" w:hAnsi="黑体" w:eastAsia="黑体"/>
        </w:rPr>
        <w:t>流通加工区</w:t>
      </w:r>
    </w:p>
    <w:p w14:paraId="56473600">
      <w:pPr>
        <w:pStyle w:val="98"/>
        <w:numPr>
          <w:ilvl w:val="3"/>
          <w:numId w:val="3"/>
        </w:numPr>
        <w:tabs>
          <w:tab w:val="clear" w:pos="1646"/>
          <w:tab w:val="clear" w:pos="2678"/>
        </w:tabs>
        <w:ind w:left="0"/>
        <w:rPr>
          <w:rFonts w:ascii="Times New Roman"/>
        </w:rPr>
      </w:pPr>
      <w:r>
        <w:rPr>
          <w:rFonts w:ascii="Times New Roman"/>
        </w:rPr>
        <w:t>流通加工区</w:t>
      </w:r>
      <w:r>
        <w:rPr>
          <w:rFonts w:hint="eastAsia" w:ascii="Times New Roman"/>
        </w:rPr>
        <w:t>宜</w:t>
      </w:r>
      <w:r>
        <w:rPr>
          <w:rFonts w:ascii="Times New Roman"/>
        </w:rPr>
        <w:t>设置在独立</w:t>
      </w:r>
      <w:r>
        <w:rPr>
          <w:rFonts w:hint="eastAsia" w:ascii="Times New Roman"/>
        </w:rPr>
        <w:t>封闭</w:t>
      </w:r>
      <w:r>
        <w:rPr>
          <w:rFonts w:ascii="Times New Roman"/>
        </w:rPr>
        <w:t>区域</w:t>
      </w:r>
      <w:r>
        <w:rPr>
          <w:rFonts w:hint="eastAsia" w:ascii="Times New Roman"/>
        </w:rPr>
        <w:t>。</w:t>
      </w:r>
    </w:p>
    <w:p w14:paraId="04EF7E10">
      <w:pPr>
        <w:pStyle w:val="98"/>
        <w:numPr>
          <w:ilvl w:val="3"/>
          <w:numId w:val="3"/>
        </w:numPr>
        <w:tabs>
          <w:tab w:val="clear" w:pos="1646"/>
          <w:tab w:val="clear" w:pos="2678"/>
        </w:tabs>
        <w:ind w:left="0"/>
        <w:rPr>
          <w:rFonts w:ascii="Times New Roman"/>
        </w:rPr>
      </w:pPr>
      <w:r>
        <w:rPr>
          <w:rFonts w:ascii="Times New Roman"/>
        </w:rPr>
        <w:t>流通加工区的温湿度</w:t>
      </w:r>
      <w:r>
        <w:rPr>
          <w:rFonts w:hint="eastAsia" w:ascii="Times New Roman"/>
        </w:rPr>
        <w:t>宜</w:t>
      </w:r>
      <w:r>
        <w:rPr>
          <w:rFonts w:ascii="Times New Roman"/>
        </w:rPr>
        <w:t>满足食品加工所规定的温湿度。</w:t>
      </w:r>
    </w:p>
    <w:p w14:paraId="72C3DA0A">
      <w:pPr>
        <w:pStyle w:val="98"/>
        <w:numPr>
          <w:ilvl w:val="3"/>
          <w:numId w:val="3"/>
        </w:numPr>
        <w:tabs>
          <w:tab w:val="clear" w:pos="1646"/>
          <w:tab w:val="clear" w:pos="2678"/>
        </w:tabs>
        <w:ind w:left="0"/>
        <w:rPr>
          <w:rFonts w:ascii="Times New Roman"/>
        </w:rPr>
      </w:pPr>
      <w:r>
        <w:rPr>
          <w:rFonts w:ascii="Times New Roman"/>
        </w:rPr>
        <w:t>根据食品类别、状态的卫生等级需求，在规划设计时</w:t>
      </w:r>
      <w:r>
        <w:rPr>
          <w:rFonts w:hint="eastAsia" w:ascii="Times New Roman"/>
        </w:rPr>
        <w:t>宜</w:t>
      </w:r>
      <w:r>
        <w:rPr>
          <w:rFonts w:ascii="Times New Roman"/>
        </w:rPr>
        <w:t>确定洁净等级和洁净区域</w:t>
      </w:r>
      <w:r>
        <w:rPr>
          <w:rFonts w:hint="eastAsia"/>
        </w:rPr>
        <w:t>。</w:t>
      </w:r>
    </w:p>
    <w:p w14:paraId="5E90B49B">
      <w:pPr>
        <w:pStyle w:val="97"/>
        <w:numPr>
          <w:ilvl w:val="2"/>
          <w:numId w:val="3"/>
        </w:numPr>
        <w:spacing w:before="120" w:beforeLines="50" w:line="360" w:lineRule="auto"/>
        <w:rPr>
          <w:rFonts w:hint="eastAsia" w:ascii="黑体" w:hAnsi="黑体" w:eastAsia="黑体"/>
        </w:rPr>
      </w:pPr>
      <w:r>
        <w:rPr>
          <w:rFonts w:hint="eastAsia" w:ascii="黑体" w:hAnsi="黑体" w:eastAsia="黑体"/>
        </w:rPr>
        <w:t>分拣区</w:t>
      </w:r>
    </w:p>
    <w:p w14:paraId="706D8BA0">
      <w:pPr>
        <w:pStyle w:val="98"/>
        <w:numPr>
          <w:ilvl w:val="3"/>
          <w:numId w:val="3"/>
        </w:numPr>
        <w:tabs>
          <w:tab w:val="clear" w:pos="1646"/>
          <w:tab w:val="clear" w:pos="2678"/>
        </w:tabs>
        <w:ind w:left="0"/>
        <w:rPr>
          <w:rFonts w:ascii="Times New Roman"/>
        </w:rPr>
      </w:pPr>
      <w:r>
        <w:rPr>
          <w:rFonts w:ascii="Times New Roman"/>
          <w:lang w:bidi="zh-CN"/>
        </w:rPr>
        <w:t>分拣区宜设置在控温封闭站台区域或相对独立的控温作业区域，并根据食品贮存要求</w:t>
      </w:r>
      <w:r>
        <w:rPr>
          <w:rFonts w:hint="eastAsia" w:ascii="Times New Roman"/>
          <w:lang w:bidi="zh-CN"/>
        </w:rPr>
        <w:t>设定</w:t>
      </w:r>
      <w:r>
        <w:rPr>
          <w:rFonts w:ascii="Times New Roman"/>
          <w:lang w:bidi="zh-CN"/>
        </w:rPr>
        <w:t>环境温度。</w:t>
      </w:r>
    </w:p>
    <w:p w14:paraId="359279DA">
      <w:pPr>
        <w:pStyle w:val="98"/>
        <w:numPr>
          <w:ilvl w:val="3"/>
          <w:numId w:val="3"/>
        </w:numPr>
        <w:tabs>
          <w:tab w:val="clear" w:pos="1646"/>
          <w:tab w:val="clear" w:pos="2678"/>
        </w:tabs>
        <w:ind w:left="0"/>
        <w:rPr>
          <w:rFonts w:ascii="Times New Roman"/>
        </w:rPr>
      </w:pPr>
      <w:r>
        <w:rPr>
          <w:rFonts w:ascii="Times New Roman"/>
          <w:lang w:bidi="zh-CN"/>
        </w:rPr>
        <w:t>分拣作业宜按照订单及食品温区组织实施，对不同温区食品、生食与熟食、直接入口食品与非直接入口食品，及正常品与异常品，</w:t>
      </w:r>
      <w:r>
        <w:rPr>
          <w:rFonts w:hint="eastAsia" w:ascii="Times New Roman"/>
          <w:lang w:bidi="zh-CN"/>
        </w:rPr>
        <w:t>宜</w:t>
      </w:r>
      <w:r>
        <w:rPr>
          <w:rFonts w:ascii="Times New Roman"/>
          <w:lang w:bidi="zh-CN"/>
        </w:rPr>
        <w:t>采取分离或分隔措施。</w:t>
      </w:r>
    </w:p>
    <w:p w14:paraId="4F597C6E">
      <w:pPr>
        <w:pStyle w:val="98"/>
        <w:numPr>
          <w:ilvl w:val="3"/>
          <w:numId w:val="3"/>
        </w:numPr>
        <w:tabs>
          <w:tab w:val="clear" w:pos="1646"/>
          <w:tab w:val="clear" w:pos="2678"/>
        </w:tabs>
        <w:ind w:left="0"/>
        <w:rPr>
          <w:rFonts w:ascii="Times New Roman"/>
        </w:rPr>
      </w:pPr>
      <w:r>
        <w:rPr>
          <w:rFonts w:ascii="Times New Roman"/>
          <w:lang w:bidi="zh-CN"/>
        </w:rPr>
        <w:t>分拣货位、周转容器和待发食品</w:t>
      </w:r>
      <w:r>
        <w:rPr>
          <w:rFonts w:hint="eastAsia" w:ascii="Times New Roman"/>
          <w:lang w:bidi="zh-CN"/>
        </w:rPr>
        <w:t>宜</w:t>
      </w:r>
      <w:r>
        <w:rPr>
          <w:rFonts w:ascii="Times New Roman"/>
          <w:lang w:bidi="zh-CN"/>
        </w:rPr>
        <w:t>设置清晰标识，并配备信息采集和作业记录</w:t>
      </w:r>
      <w:r>
        <w:rPr>
          <w:rFonts w:hint="eastAsia" w:ascii="Times New Roman"/>
          <w:lang w:bidi="zh-CN"/>
        </w:rPr>
        <w:t>设备</w:t>
      </w:r>
      <w:r>
        <w:rPr>
          <w:rFonts w:ascii="Times New Roman"/>
          <w:lang w:bidi="zh-CN"/>
        </w:rPr>
        <w:t>。</w:t>
      </w:r>
    </w:p>
    <w:p w14:paraId="370778CE">
      <w:pPr>
        <w:pStyle w:val="97"/>
        <w:numPr>
          <w:ilvl w:val="2"/>
          <w:numId w:val="3"/>
        </w:numPr>
        <w:spacing w:before="120" w:beforeLines="50" w:line="360" w:lineRule="auto"/>
        <w:rPr>
          <w:rFonts w:hint="eastAsia" w:ascii="黑体" w:hAnsi="黑体" w:eastAsia="黑体"/>
        </w:rPr>
      </w:pPr>
      <w:r>
        <w:rPr>
          <w:rFonts w:hint="eastAsia" w:ascii="黑体" w:hAnsi="黑体" w:eastAsia="黑体"/>
        </w:rPr>
        <w:t>暂存区</w:t>
      </w:r>
    </w:p>
    <w:p w14:paraId="34B23F71">
      <w:pPr>
        <w:pStyle w:val="98"/>
        <w:numPr>
          <w:ilvl w:val="3"/>
          <w:numId w:val="3"/>
        </w:numPr>
        <w:tabs>
          <w:tab w:val="clear" w:pos="1646"/>
          <w:tab w:val="clear" w:pos="2678"/>
        </w:tabs>
        <w:ind w:left="0"/>
        <w:rPr>
          <w:rFonts w:ascii="Times New Roman"/>
        </w:rPr>
      </w:pPr>
      <w:r>
        <w:rPr>
          <w:rFonts w:ascii="Times New Roman"/>
          <w:lang w:bidi="zh-CN"/>
        </w:rPr>
        <w:t>暂存区宜设置在靠近发货区的控温封闭站台区域。</w:t>
      </w:r>
    </w:p>
    <w:p w14:paraId="3538AC44">
      <w:pPr>
        <w:pStyle w:val="98"/>
        <w:numPr>
          <w:ilvl w:val="3"/>
          <w:numId w:val="3"/>
        </w:numPr>
        <w:tabs>
          <w:tab w:val="clear" w:pos="1646"/>
          <w:tab w:val="clear" w:pos="2678"/>
        </w:tabs>
        <w:ind w:left="0"/>
        <w:rPr>
          <w:rFonts w:ascii="Times New Roman"/>
        </w:rPr>
      </w:pPr>
      <w:r>
        <w:rPr>
          <w:rFonts w:ascii="Times New Roman"/>
          <w:lang w:bidi="zh-CN"/>
        </w:rPr>
        <w:t>暂存</w:t>
      </w:r>
      <w:r>
        <w:rPr>
          <w:rFonts w:hint="eastAsia" w:ascii="Times New Roman"/>
          <w:lang w:bidi="zh-CN"/>
        </w:rPr>
        <w:t>区温度宜</w:t>
      </w:r>
      <w:r>
        <w:rPr>
          <w:rFonts w:ascii="Times New Roman"/>
          <w:lang w:bidi="zh-CN"/>
        </w:rPr>
        <w:t>符合食品标签标示或相关标准规定的温湿度要求，并缩短暂存时间。</w:t>
      </w:r>
    </w:p>
    <w:p w14:paraId="5A357ADA">
      <w:pPr>
        <w:pStyle w:val="98"/>
        <w:numPr>
          <w:ilvl w:val="3"/>
          <w:numId w:val="3"/>
        </w:numPr>
        <w:tabs>
          <w:tab w:val="clear" w:pos="1646"/>
          <w:tab w:val="clear" w:pos="2678"/>
        </w:tabs>
        <w:ind w:left="0"/>
        <w:rPr>
          <w:rFonts w:ascii="Times New Roman"/>
        </w:rPr>
      </w:pPr>
      <w:r>
        <w:rPr>
          <w:rFonts w:ascii="Times New Roman"/>
          <w:lang w:bidi="zh-CN"/>
        </w:rPr>
        <w:t>对温度异常、包装破损、退货、待检或不合格品，</w:t>
      </w:r>
      <w:r>
        <w:rPr>
          <w:rFonts w:hint="eastAsia" w:ascii="Times New Roman"/>
          <w:lang w:bidi="zh-CN"/>
        </w:rPr>
        <w:t>宜</w:t>
      </w:r>
      <w:r>
        <w:rPr>
          <w:rFonts w:ascii="Times New Roman"/>
          <w:lang w:bidi="zh-CN"/>
        </w:rPr>
        <w:t>设置专用暂存区域或采取隔离措施，并进行明显标识。</w:t>
      </w:r>
    </w:p>
    <w:p w14:paraId="50B6E858">
      <w:pPr>
        <w:pStyle w:val="97"/>
        <w:numPr>
          <w:ilvl w:val="2"/>
          <w:numId w:val="3"/>
        </w:numPr>
        <w:spacing w:before="120" w:beforeLines="50" w:line="360" w:lineRule="auto"/>
        <w:rPr>
          <w:rFonts w:hint="eastAsia" w:ascii="黑体" w:hAnsi="黑体" w:eastAsia="黑体"/>
        </w:rPr>
      </w:pPr>
      <w:r>
        <w:rPr>
          <w:rFonts w:hint="eastAsia" w:ascii="黑体" w:hAnsi="黑体" w:eastAsia="黑体"/>
        </w:rPr>
        <w:t>装卸作业区</w:t>
      </w:r>
    </w:p>
    <w:p w14:paraId="13FC4812">
      <w:pPr>
        <w:pStyle w:val="98"/>
        <w:numPr>
          <w:ilvl w:val="3"/>
          <w:numId w:val="3"/>
        </w:numPr>
        <w:tabs>
          <w:tab w:val="clear" w:pos="1646"/>
          <w:tab w:val="clear" w:pos="2678"/>
        </w:tabs>
        <w:ind w:left="0"/>
        <w:rPr>
          <w:rFonts w:ascii="Times New Roman"/>
        </w:rPr>
      </w:pPr>
      <w:r>
        <w:rPr>
          <w:rFonts w:ascii="Times New Roman"/>
        </w:rPr>
        <w:t>装卸作业区的规划设计</w:t>
      </w:r>
      <w:r>
        <w:rPr>
          <w:rFonts w:hAnsi="宋体"/>
        </w:rPr>
        <w:t>宜</w:t>
      </w:r>
      <w:r>
        <w:rPr>
          <w:rFonts w:hint="eastAsia" w:hAnsi="宋体"/>
        </w:rPr>
        <w:t>依据</w:t>
      </w:r>
      <w:r>
        <w:rPr>
          <w:rFonts w:hAnsi="宋体"/>
        </w:rPr>
        <w:t>GB/T 28581—</w:t>
      </w:r>
      <w:r>
        <w:rPr>
          <w:rFonts w:hint="eastAsia" w:hAnsi="宋体"/>
        </w:rPr>
        <w:t>2021</w:t>
      </w:r>
      <w:r>
        <w:rPr>
          <w:rFonts w:hAnsi="宋体"/>
        </w:rPr>
        <w:t>中</w:t>
      </w:r>
      <w:r>
        <w:rPr>
          <w:rFonts w:hint="eastAsia" w:hAnsi="宋体"/>
        </w:rPr>
        <w:t>4.3.1</w:t>
      </w:r>
      <w:r>
        <w:rPr>
          <w:rFonts w:hAnsi="宋体"/>
        </w:rPr>
        <w:t>的规定进行。</w:t>
      </w:r>
    </w:p>
    <w:p w14:paraId="506594AF">
      <w:pPr>
        <w:pStyle w:val="98"/>
        <w:numPr>
          <w:ilvl w:val="3"/>
          <w:numId w:val="3"/>
        </w:numPr>
        <w:tabs>
          <w:tab w:val="clear" w:pos="1646"/>
          <w:tab w:val="clear" w:pos="2678"/>
        </w:tabs>
        <w:ind w:left="0"/>
        <w:rPr>
          <w:rFonts w:ascii="Times New Roman"/>
        </w:rPr>
      </w:pPr>
      <w:r>
        <w:rPr>
          <w:rFonts w:ascii="Times New Roman"/>
          <w:lang w:bidi="zh-CN"/>
        </w:rPr>
        <w:t>宜采用封闭站台、门封、登车桥、快速门等设施</w:t>
      </w:r>
      <w:r>
        <w:rPr>
          <w:rFonts w:hint="eastAsia" w:ascii="Times New Roman"/>
          <w:lang w:bidi="zh-CN"/>
        </w:rPr>
        <w:t>。</w:t>
      </w:r>
    </w:p>
    <w:p w14:paraId="6405D59D">
      <w:pPr>
        <w:pStyle w:val="98"/>
        <w:numPr>
          <w:ilvl w:val="3"/>
          <w:numId w:val="3"/>
        </w:numPr>
        <w:tabs>
          <w:tab w:val="clear" w:pos="1646"/>
          <w:tab w:val="clear" w:pos="2678"/>
        </w:tabs>
        <w:ind w:left="0"/>
        <w:rPr>
          <w:rFonts w:ascii="Times New Roman"/>
        </w:rPr>
      </w:pPr>
      <w:r>
        <w:rPr>
          <w:rFonts w:ascii="Times New Roman"/>
          <w:lang w:bidi="zh-CN"/>
        </w:rPr>
        <w:t>车辆对接处</w:t>
      </w:r>
      <w:r>
        <w:rPr>
          <w:rFonts w:hint="eastAsia" w:ascii="Times New Roman"/>
          <w:lang w:bidi="zh-CN"/>
        </w:rPr>
        <w:t>宜</w:t>
      </w:r>
      <w:r>
        <w:rPr>
          <w:rFonts w:ascii="Times New Roman"/>
          <w:lang w:bidi="zh-CN"/>
        </w:rPr>
        <w:t>采取防撞、密封和安全防护措施。</w:t>
      </w:r>
    </w:p>
    <w:p w14:paraId="4EE0D248">
      <w:pPr>
        <w:pStyle w:val="98"/>
        <w:numPr>
          <w:ilvl w:val="3"/>
          <w:numId w:val="3"/>
        </w:numPr>
        <w:tabs>
          <w:tab w:val="clear" w:pos="1646"/>
          <w:tab w:val="clear" w:pos="2678"/>
        </w:tabs>
        <w:ind w:left="0"/>
        <w:rPr>
          <w:rFonts w:ascii="Times New Roman"/>
        </w:rPr>
      </w:pPr>
      <w:r>
        <w:rPr>
          <w:rFonts w:ascii="Times New Roman"/>
          <w:lang w:bidi="zh-CN"/>
        </w:rPr>
        <w:t>装卸作业区</w:t>
      </w:r>
      <w:r>
        <w:rPr>
          <w:rFonts w:hint="eastAsia" w:ascii="Times New Roman"/>
          <w:lang w:bidi="zh-CN"/>
        </w:rPr>
        <w:t>宜</w:t>
      </w:r>
      <w:r>
        <w:rPr>
          <w:rFonts w:ascii="Times New Roman"/>
          <w:lang w:bidi="zh-CN"/>
        </w:rPr>
        <w:t>合理设置照明、标志标线及人车分流设施。</w:t>
      </w:r>
    </w:p>
    <w:p w14:paraId="21F003BA">
      <w:pPr>
        <w:pStyle w:val="97"/>
        <w:numPr>
          <w:ilvl w:val="2"/>
          <w:numId w:val="3"/>
        </w:numPr>
        <w:spacing w:before="120" w:beforeLines="50" w:line="360" w:lineRule="auto"/>
        <w:rPr>
          <w:rFonts w:hint="eastAsia" w:ascii="黑体" w:hAnsi="黑体" w:eastAsia="黑体"/>
        </w:rPr>
      </w:pPr>
      <w:r>
        <w:rPr>
          <w:rFonts w:hint="eastAsia" w:ascii="黑体" w:hAnsi="黑体" w:eastAsia="黑体"/>
        </w:rPr>
        <w:t>检测区</w:t>
      </w:r>
    </w:p>
    <w:p w14:paraId="0FCBBBCF">
      <w:pPr>
        <w:pStyle w:val="98"/>
        <w:numPr>
          <w:ilvl w:val="3"/>
          <w:numId w:val="3"/>
        </w:numPr>
        <w:tabs>
          <w:tab w:val="clear" w:pos="1646"/>
          <w:tab w:val="clear" w:pos="2678"/>
        </w:tabs>
        <w:ind w:left="0"/>
        <w:rPr>
          <w:rFonts w:ascii="Times New Roman"/>
        </w:rPr>
      </w:pPr>
      <w:r>
        <w:rPr>
          <w:rFonts w:ascii="Times New Roman"/>
        </w:rPr>
        <w:t>自行开展检</w:t>
      </w:r>
      <w:r>
        <w:rPr>
          <w:rFonts w:hint="eastAsia" w:ascii="Times New Roman"/>
        </w:rPr>
        <w:t>测</w:t>
      </w:r>
      <w:r>
        <w:rPr>
          <w:rFonts w:ascii="Times New Roman"/>
        </w:rPr>
        <w:t>的，</w:t>
      </w:r>
      <w:r>
        <w:rPr>
          <w:rFonts w:hint="eastAsia" w:ascii="Times New Roman"/>
        </w:rPr>
        <w:t>宜</w:t>
      </w:r>
      <w:r>
        <w:rPr>
          <w:rFonts w:ascii="Times New Roman"/>
        </w:rPr>
        <w:t>具备与检</w:t>
      </w:r>
      <w:r>
        <w:rPr>
          <w:rFonts w:hint="eastAsia" w:ascii="Times New Roman"/>
        </w:rPr>
        <w:t>测</w:t>
      </w:r>
      <w:r>
        <w:rPr>
          <w:rFonts w:ascii="Times New Roman"/>
        </w:rPr>
        <w:t>项目相适应的检</w:t>
      </w:r>
      <w:r>
        <w:rPr>
          <w:rFonts w:hint="eastAsia" w:ascii="Times New Roman"/>
        </w:rPr>
        <w:t>测</w:t>
      </w:r>
      <w:r>
        <w:rPr>
          <w:rFonts w:ascii="Times New Roman"/>
        </w:rPr>
        <w:t>场所、仪器设备和能力</w:t>
      </w:r>
      <w:r>
        <w:rPr>
          <w:rFonts w:hint="eastAsia" w:ascii="Times New Roman"/>
        </w:rPr>
        <w:t>。</w:t>
      </w:r>
    </w:p>
    <w:p w14:paraId="15F0A162">
      <w:pPr>
        <w:pStyle w:val="98"/>
        <w:numPr>
          <w:ilvl w:val="3"/>
          <w:numId w:val="3"/>
        </w:numPr>
        <w:tabs>
          <w:tab w:val="clear" w:pos="1646"/>
          <w:tab w:val="clear" w:pos="2678"/>
        </w:tabs>
        <w:ind w:left="0"/>
        <w:rPr>
          <w:rFonts w:ascii="Times New Roman"/>
        </w:rPr>
      </w:pPr>
      <w:r>
        <w:rPr>
          <w:rFonts w:hint="eastAsia" w:ascii="Times New Roman"/>
        </w:rPr>
        <w:t>检测</w:t>
      </w:r>
      <w:r>
        <w:rPr>
          <w:rFonts w:hint="eastAsia" w:ascii="Times New Roman"/>
          <w:lang w:bidi="zh-CN"/>
        </w:rPr>
        <w:t>区</w:t>
      </w:r>
      <w:r>
        <w:rPr>
          <w:rFonts w:ascii="Times New Roman"/>
          <w:lang w:bidi="zh-CN"/>
        </w:rPr>
        <w:t>宜设置入库验收检测、抽样、样品暂存、快速检测、留样和待检食品暂存等功能，并靠近收货区布置。</w:t>
      </w:r>
    </w:p>
    <w:p w14:paraId="4B6BF462">
      <w:pPr>
        <w:pStyle w:val="98"/>
        <w:numPr>
          <w:ilvl w:val="3"/>
          <w:numId w:val="3"/>
        </w:numPr>
        <w:tabs>
          <w:tab w:val="clear" w:pos="1646"/>
          <w:tab w:val="clear" w:pos="2678"/>
        </w:tabs>
        <w:ind w:left="0"/>
        <w:rPr>
          <w:rFonts w:ascii="Times New Roman"/>
        </w:rPr>
      </w:pPr>
      <w:r>
        <w:rPr>
          <w:rFonts w:ascii="Times New Roman"/>
          <w:lang w:bidi="zh-CN"/>
        </w:rPr>
        <w:t>检测区</w:t>
      </w:r>
      <w:r>
        <w:rPr>
          <w:rFonts w:hint="eastAsia" w:ascii="Times New Roman"/>
          <w:lang w:bidi="zh-CN"/>
        </w:rPr>
        <w:t>宜</w:t>
      </w:r>
      <w:r>
        <w:rPr>
          <w:rFonts w:ascii="Times New Roman"/>
          <w:lang w:bidi="zh-CN"/>
        </w:rPr>
        <w:t>与食品贮存、分拣、流通加工等作业区域有效分隔。</w:t>
      </w:r>
    </w:p>
    <w:p w14:paraId="078B2DE5">
      <w:pPr>
        <w:pStyle w:val="97"/>
        <w:numPr>
          <w:ilvl w:val="2"/>
          <w:numId w:val="3"/>
        </w:numPr>
        <w:spacing w:before="120" w:beforeLines="50" w:line="360" w:lineRule="auto"/>
        <w:rPr>
          <w:rFonts w:hint="eastAsia" w:ascii="黑体" w:hAnsi="黑体" w:eastAsia="黑体"/>
        </w:rPr>
      </w:pPr>
      <w:r>
        <w:rPr>
          <w:rFonts w:hint="eastAsia" w:ascii="黑体" w:hAnsi="黑体" w:eastAsia="黑体"/>
        </w:rPr>
        <w:t>充电区</w:t>
      </w:r>
    </w:p>
    <w:p w14:paraId="016C58F3">
      <w:pPr>
        <w:pStyle w:val="98"/>
        <w:numPr>
          <w:ilvl w:val="3"/>
          <w:numId w:val="3"/>
        </w:numPr>
        <w:tabs>
          <w:tab w:val="clear" w:pos="1646"/>
          <w:tab w:val="clear" w:pos="2678"/>
        </w:tabs>
        <w:ind w:left="0"/>
        <w:rPr>
          <w:rFonts w:ascii="Times New Roman"/>
          <w:lang w:bidi="zh-CN"/>
        </w:rPr>
      </w:pPr>
      <w:r>
        <w:rPr>
          <w:rFonts w:hint="eastAsia" w:ascii="Times New Roman"/>
          <w:lang w:bidi="zh-CN"/>
        </w:rPr>
        <w:t>充电区宜设置通风、消防、应急断电、防撞、监控报警和安全标识等设施设备，并实行车辆通行、充能作业和人员通行分流。</w:t>
      </w:r>
    </w:p>
    <w:p w14:paraId="349D22F1">
      <w:pPr>
        <w:pStyle w:val="98"/>
        <w:numPr>
          <w:ilvl w:val="3"/>
          <w:numId w:val="3"/>
        </w:numPr>
        <w:tabs>
          <w:tab w:val="clear" w:pos="1646"/>
          <w:tab w:val="clear" w:pos="2678"/>
        </w:tabs>
        <w:ind w:left="0"/>
        <w:rPr>
          <w:rFonts w:ascii="Times New Roman"/>
          <w:lang w:bidi="zh-CN"/>
        </w:rPr>
      </w:pPr>
      <w:r>
        <w:rPr>
          <w:rFonts w:hint="eastAsia" w:ascii="Times New Roman"/>
          <w:lang w:bidi="zh-CN"/>
        </w:rPr>
        <w:t>用于电动配送车辆充电的设施，其总平面布置、供配电、监控通信、土建及消防设计宜依据GB/T 50966</w:t>
      </w:r>
      <w:r>
        <w:rPr>
          <w:rFonts w:hint="eastAsia" w:ascii="Times New Roman"/>
          <w:lang w:val="en-US" w:bidi="zh-CN"/>
        </w:rPr>
        <w:t>中相关内容</w:t>
      </w:r>
      <w:r>
        <w:rPr>
          <w:rFonts w:hint="eastAsia" w:ascii="Times New Roman"/>
          <w:lang w:bidi="zh-CN"/>
        </w:rPr>
        <w:t>。</w:t>
      </w:r>
    </w:p>
    <w:p w14:paraId="0B524807">
      <w:pPr>
        <w:pStyle w:val="97"/>
        <w:numPr>
          <w:ilvl w:val="2"/>
          <w:numId w:val="3"/>
        </w:numPr>
        <w:spacing w:before="120" w:beforeLines="50" w:line="360" w:lineRule="auto"/>
        <w:rPr>
          <w:rFonts w:hint="eastAsia" w:ascii="黑体" w:hAnsi="黑体" w:eastAsia="黑体"/>
        </w:rPr>
      </w:pPr>
      <w:r>
        <w:rPr>
          <w:rFonts w:hint="eastAsia" w:ascii="黑体" w:hAnsi="黑体" w:eastAsia="黑体"/>
        </w:rPr>
        <w:t>附属配套区</w:t>
      </w:r>
    </w:p>
    <w:p w14:paraId="6EA1F6AA">
      <w:pPr>
        <w:pStyle w:val="98"/>
        <w:numPr>
          <w:ilvl w:val="3"/>
          <w:numId w:val="3"/>
        </w:numPr>
        <w:tabs>
          <w:tab w:val="clear" w:pos="1646"/>
          <w:tab w:val="clear" w:pos="2678"/>
        </w:tabs>
        <w:ind w:left="0"/>
        <w:rPr>
          <w:rFonts w:ascii="Times New Roman"/>
          <w:lang w:bidi="zh-CN"/>
        </w:rPr>
      </w:pPr>
      <w:r>
        <w:rPr>
          <w:rFonts w:hint="eastAsia" w:ascii="Times New Roman"/>
          <w:lang w:bidi="zh-CN"/>
        </w:rPr>
        <w:t>附属配套区宜依据动线、面积配比、卫生设施、生活配套、给排水等因素规划设计。</w:t>
      </w:r>
    </w:p>
    <w:p w14:paraId="5680D034">
      <w:pPr>
        <w:pStyle w:val="98"/>
        <w:numPr>
          <w:ilvl w:val="3"/>
          <w:numId w:val="3"/>
        </w:numPr>
        <w:tabs>
          <w:tab w:val="clear" w:pos="1646"/>
          <w:tab w:val="clear" w:pos="2678"/>
        </w:tabs>
        <w:ind w:left="0"/>
        <w:rPr>
          <w:rFonts w:ascii="Times New Roman"/>
          <w:lang w:bidi="zh-CN"/>
        </w:rPr>
      </w:pPr>
      <w:r>
        <w:rPr>
          <w:rFonts w:hint="eastAsia" w:ascii="Times New Roman"/>
          <w:lang w:bidi="zh-CN"/>
        </w:rPr>
        <w:t>人员生活服务区、办公区及维修区宜与食品作业区保持适当距离或采取有效分隔措施。</w:t>
      </w:r>
    </w:p>
    <w:p w14:paraId="26C04777">
      <w:pPr>
        <w:pStyle w:val="98"/>
        <w:numPr>
          <w:ilvl w:val="3"/>
          <w:numId w:val="3"/>
        </w:numPr>
        <w:tabs>
          <w:tab w:val="clear" w:pos="1646"/>
          <w:tab w:val="clear" w:pos="2678"/>
        </w:tabs>
        <w:ind w:left="0"/>
        <w:rPr>
          <w:rFonts w:ascii="Times New Roman"/>
          <w:lang w:bidi="zh-CN"/>
        </w:rPr>
      </w:pPr>
      <w:r>
        <w:rPr>
          <w:rFonts w:hint="eastAsia" w:ascii="Times New Roman"/>
          <w:lang w:bidi="zh-CN"/>
        </w:rPr>
        <w:t>卫生间不宜与食品作业、包装或贮存区域直接连通。</w:t>
      </w:r>
    </w:p>
    <w:p w14:paraId="39825B46">
      <w:pPr>
        <w:pStyle w:val="98"/>
        <w:numPr>
          <w:ilvl w:val="3"/>
          <w:numId w:val="3"/>
        </w:numPr>
        <w:tabs>
          <w:tab w:val="clear" w:pos="1646"/>
          <w:tab w:val="clear" w:pos="2678"/>
        </w:tabs>
        <w:ind w:left="0"/>
        <w:rPr>
          <w:rFonts w:ascii="Times New Roman"/>
          <w:lang w:bidi="zh-CN"/>
        </w:rPr>
      </w:pPr>
      <w:r>
        <w:rPr>
          <w:rFonts w:hint="eastAsia" w:ascii="Times New Roman"/>
          <w:lang w:bidi="zh-CN"/>
        </w:rPr>
        <w:t>废弃物收集区宜设置在对食品作业影响较小的位置，并配置分类、密闭、防渗漏、易清洁的收集容器和必要的清洗排水设施。</w:t>
      </w:r>
    </w:p>
    <w:p w14:paraId="58F46B5D">
      <w:pPr>
        <w:pStyle w:val="64"/>
        <w:numPr>
          <w:ilvl w:val="1"/>
          <w:numId w:val="3"/>
        </w:numPr>
        <w:spacing w:before="240" w:after="240"/>
      </w:pPr>
      <w:bookmarkStart w:id="110" w:name="_Toc240808147"/>
      <w:r>
        <w:rPr>
          <w:rFonts w:hint="eastAsia"/>
        </w:rPr>
        <w:t>温控系统</w:t>
      </w:r>
      <w:bookmarkEnd w:id="110"/>
    </w:p>
    <w:p w14:paraId="33C7ADF2">
      <w:pPr>
        <w:pStyle w:val="97"/>
        <w:numPr>
          <w:ilvl w:val="2"/>
          <w:numId w:val="3"/>
        </w:numPr>
      </w:pPr>
      <w:r>
        <w:rPr>
          <w:rFonts w:hint="eastAsia"/>
        </w:rPr>
        <w:t>宜选用与业务形态匹配的合理的温控系统。</w:t>
      </w:r>
    </w:p>
    <w:p w14:paraId="0E68EA9E">
      <w:pPr>
        <w:pStyle w:val="97"/>
        <w:numPr>
          <w:ilvl w:val="2"/>
          <w:numId w:val="3"/>
        </w:numPr>
      </w:pPr>
      <w:r>
        <w:rPr>
          <w:rFonts w:hint="eastAsia"/>
        </w:rPr>
        <w:t>宜合理布局温控设备采集点及光源。</w:t>
      </w:r>
    </w:p>
    <w:p w14:paraId="69FD70BC">
      <w:pPr>
        <w:pStyle w:val="97"/>
        <w:numPr>
          <w:ilvl w:val="2"/>
          <w:numId w:val="3"/>
        </w:numPr>
      </w:pPr>
      <w:r>
        <w:rPr>
          <w:rFonts w:hint="eastAsia"/>
        </w:rPr>
        <w:t>宜选用与业务形态匹配的温湿度监测设备，功能包括但不限于实时传感、异常报警、数据追溯。</w:t>
      </w:r>
    </w:p>
    <w:p w14:paraId="3ADAC51F">
      <w:pPr>
        <w:pStyle w:val="97"/>
        <w:numPr>
          <w:ilvl w:val="2"/>
          <w:numId w:val="3"/>
        </w:numPr>
      </w:pPr>
      <w:r>
        <w:rPr>
          <w:rFonts w:hint="eastAsia"/>
        </w:rPr>
        <w:t>宜制订温度失控应急处置预案。</w:t>
      </w:r>
    </w:p>
    <w:p w14:paraId="75C91485">
      <w:pPr>
        <w:pStyle w:val="97"/>
        <w:numPr>
          <w:ilvl w:val="2"/>
          <w:numId w:val="3"/>
        </w:numPr>
      </w:pPr>
      <w:r>
        <w:rPr>
          <w:rFonts w:hint="eastAsia"/>
        </w:rPr>
        <w:t>宜采用智能化温控系统，并定期备存。</w:t>
      </w:r>
    </w:p>
    <w:p w14:paraId="3E251F7D">
      <w:pPr>
        <w:pStyle w:val="64"/>
        <w:numPr>
          <w:ilvl w:val="1"/>
          <w:numId w:val="3"/>
        </w:numPr>
        <w:spacing w:before="240" w:after="240"/>
      </w:pPr>
      <w:bookmarkStart w:id="111" w:name="_Toc240808148"/>
      <w:r>
        <w:t>道路及动线</w:t>
      </w:r>
      <w:bookmarkEnd w:id="111"/>
    </w:p>
    <w:p w14:paraId="3135CAEA">
      <w:pPr>
        <w:pStyle w:val="97"/>
        <w:numPr>
          <w:ilvl w:val="2"/>
          <w:numId w:val="3"/>
        </w:numPr>
        <w:spacing w:before="120" w:beforeLines="50" w:line="360" w:lineRule="auto"/>
        <w:rPr>
          <w:rFonts w:hint="eastAsia" w:ascii="黑体" w:hAnsi="黑体" w:eastAsia="黑体"/>
        </w:rPr>
      </w:pPr>
      <w:r>
        <w:rPr>
          <w:rFonts w:hint="eastAsia" w:ascii="黑体" w:hAnsi="黑体" w:eastAsia="黑体"/>
        </w:rPr>
        <w:t>道路</w:t>
      </w:r>
    </w:p>
    <w:p w14:paraId="77B637F0">
      <w:pPr>
        <w:pStyle w:val="66"/>
        <w:ind w:right="658" w:rightChars="274" w:firstLine="420"/>
        <w:rPr>
          <w:rFonts w:ascii="Times New Roman"/>
        </w:rPr>
      </w:pPr>
      <w:r>
        <w:rPr>
          <w:rFonts w:ascii="Times New Roman"/>
        </w:rPr>
        <w:t>道路宜</w:t>
      </w:r>
      <w:r>
        <w:rPr>
          <w:rFonts w:hint="eastAsia" w:hAnsi="宋体"/>
        </w:rPr>
        <w:t>依据</w:t>
      </w:r>
      <w:r>
        <w:rPr>
          <w:rFonts w:hAnsi="宋体"/>
        </w:rPr>
        <w:t>GB/T 28581—</w:t>
      </w:r>
      <w:r>
        <w:rPr>
          <w:rFonts w:hint="eastAsia" w:hAnsi="宋体"/>
        </w:rPr>
        <w:t>2021</w:t>
      </w:r>
      <w:r>
        <w:rPr>
          <w:rFonts w:hAnsi="宋体"/>
        </w:rPr>
        <w:t>中</w:t>
      </w:r>
      <w:r>
        <w:rPr>
          <w:rFonts w:hint="eastAsia" w:hAnsi="宋体"/>
        </w:rPr>
        <w:t>4.4</w:t>
      </w:r>
      <w:r>
        <w:rPr>
          <w:rFonts w:hAnsi="宋体"/>
        </w:rPr>
        <w:t>的规定进行规划</w:t>
      </w:r>
      <w:r>
        <w:rPr>
          <w:rFonts w:hint="eastAsia" w:hAnsi="宋体"/>
        </w:rPr>
        <w:t>设</w:t>
      </w:r>
      <w:r>
        <w:rPr>
          <w:rFonts w:hint="eastAsia" w:ascii="Times New Roman"/>
        </w:rPr>
        <w:t>计</w:t>
      </w:r>
      <w:r>
        <w:rPr>
          <w:rFonts w:ascii="Times New Roman"/>
        </w:rPr>
        <w:t>。</w:t>
      </w:r>
    </w:p>
    <w:p w14:paraId="248CF696">
      <w:pPr>
        <w:pStyle w:val="97"/>
        <w:numPr>
          <w:ilvl w:val="2"/>
          <w:numId w:val="3"/>
        </w:numPr>
        <w:spacing w:before="120" w:beforeLines="50" w:line="360" w:lineRule="auto"/>
        <w:rPr>
          <w:rFonts w:hint="eastAsia" w:ascii="黑体" w:hAnsi="黑体" w:eastAsia="黑体"/>
        </w:rPr>
      </w:pPr>
      <w:r>
        <w:rPr>
          <w:rFonts w:hint="eastAsia" w:ascii="黑体" w:hAnsi="黑体" w:eastAsia="黑体"/>
        </w:rPr>
        <w:t>物流动线</w:t>
      </w:r>
    </w:p>
    <w:p w14:paraId="4EDCB0D5">
      <w:pPr>
        <w:pStyle w:val="66"/>
        <w:ind w:firstLine="420"/>
        <w:rPr>
          <w:rFonts w:ascii="Times New Roman"/>
        </w:rPr>
      </w:pPr>
      <w:r>
        <w:rPr>
          <w:rFonts w:ascii="Times New Roman"/>
        </w:rPr>
        <w:t>物流动线</w:t>
      </w:r>
      <w:r>
        <w:rPr>
          <w:rFonts w:hint="eastAsia" w:ascii="Times New Roman"/>
        </w:rPr>
        <w:t>宜根据食品安全、温控要求和作业效率等因素，结合单向循环原则进行规划设计，实现原料与成品、生品与熟品、洁净物与污染物、正常品与异常品、正向物流与逆向物流、人流与物流的有效分隔。</w:t>
      </w:r>
    </w:p>
    <w:p w14:paraId="0378BB24">
      <w:pPr>
        <w:pStyle w:val="97"/>
        <w:numPr>
          <w:ilvl w:val="2"/>
          <w:numId w:val="3"/>
        </w:numPr>
        <w:spacing w:before="120" w:beforeLines="50" w:line="360" w:lineRule="auto"/>
        <w:rPr>
          <w:rFonts w:hint="eastAsia" w:ascii="黑体" w:hAnsi="黑体" w:eastAsia="黑体"/>
        </w:rPr>
      </w:pPr>
      <w:bookmarkStart w:id="112" w:name="_Toc237260273"/>
      <w:bookmarkEnd w:id="112"/>
      <w:r>
        <w:rPr>
          <w:rFonts w:hint="eastAsia" w:ascii="黑体" w:hAnsi="黑体" w:eastAsia="黑体"/>
        </w:rPr>
        <w:t>人流动线</w:t>
      </w:r>
    </w:p>
    <w:p w14:paraId="49B00CCC">
      <w:pPr>
        <w:pStyle w:val="66"/>
        <w:ind w:firstLine="420"/>
        <w:rPr>
          <w:rFonts w:ascii="Times New Roman"/>
        </w:rPr>
      </w:pPr>
      <w:r>
        <w:rPr>
          <w:rFonts w:hint="eastAsia" w:ascii="Times New Roman"/>
        </w:rPr>
        <w:t>人流动线宜与物流动线分隔。当人流动线</w:t>
      </w:r>
      <w:r>
        <w:rPr>
          <w:rFonts w:ascii="Times New Roman"/>
        </w:rPr>
        <w:t>与物流动线并行</w:t>
      </w:r>
      <w:r>
        <w:rPr>
          <w:rFonts w:hint="eastAsia" w:ascii="Times New Roman"/>
        </w:rPr>
        <w:t>时，宜对标识进行区分。</w:t>
      </w:r>
    </w:p>
    <w:p w14:paraId="01E7DB36">
      <w:pPr>
        <w:pStyle w:val="64"/>
        <w:numPr>
          <w:ilvl w:val="1"/>
          <w:numId w:val="3"/>
        </w:numPr>
        <w:spacing w:before="240" w:after="240"/>
      </w:pPr>
      <w:bookmarkStart w:id="113" w:name="_Toc240808149"/>
      <w:r>
        <w:rPr>
          <w:rFonts w:hint="eastAsia"/>
        </w:rPr>
        <w:t>作业</w:t>
      </w:r>
      <w:r>
        <w:t>设备</w:t>
      </w:r>
      <w:bookmarkEnd w:id="113"/>
    </w:p>
    <w:p w14:paraId="36D145B7">
      <w:pPr>
        <w:pStyle w:val="97"/>
        <w:numPr>
          <w:ilvl w:val="2"/>
          <w:numId w:val="3"/>
        </w:numPr>
        <w:spacing w:before="120" w:beforeLines="50" w:line="360" w:lineRule="auto"/>
        <w:rPr>
          <w:rFonts w:hint="eastAsia" w:ascii="黑体" w:hAnsi="黑体" w:eastAsia="黑体"/>
        </w:rPr>
      </w:pPr>
      <w:r>
        <w:rPr>
          <w:rFonts w:hint="eastAsia" w:ascii="黑体" w:hAnsi="黑体" w:eastAsia="黑体"/>
        </w:rPr>
        <w:t>预冷设备</w:t>
      </w:r>
    </w:p>
    <w:p w14:paraId="156C3F93">
      <w:pPr>
        <w:pStyle w:val="66"/>
        <w:ind w:firstLine="420"/>
      </w:pPr>
      <w:r>
        <w:rPr>
          <w:rFonts w:hint="eastAsia"/>
        </w:rPr>
        <w:t>宜根据食品特性选用预冷设备，包括但不限于空气预冷型、真空预冷型、冷（冰）水预冷型机械预冷设备。</w:t>
      </w:r>
    </w:p>
    <w:p w14:paraId="74CF9675">
      <w:pPr>
        <w:pStyle w:val="97"/>
        <w:numPr>
          <w:ilvl w:val="2"/>
          <w:numId w:val="3"/>
        </w:numPr>
        <w:spacing w:before="120" w:beforeLines="50" w:line="360" w:lineRule="auto"/>
        <w:rPr>
          <w:rFonts w:hint="eastAsia" w:ascii="黑体" w:hAnsi="黑体" w:eastAsia="黑体"/>
        </w:rPr>
      </w:pPr>
      <w:r>
        <w:rPr>
          <w:rFonts w:hint="eastAsia" w:ascii="黑体" w:hAnsi="黑体" w:eastAsia="黑体"/>
        </w:rPr>
        <w:t>存储设备</w:t>
      </w:r>
    </w:p>
    <w:p w14:paraId="5ACBFF36">
      <w:pPr>
        <w:pStyle w:val="66"/>
        <w:ind w:firstLine="420"/>
        <w:rPr>
          <w:rFonts w:ascii="Times New Roman"/>
        </w:rPr>
      </w:pPr>
      <w:r>
        <w:rPr>
          <w:rFonts w:hAnsi="宋体"/>
        </w:rPr>
        <w:t>宜</w:t>
      </w:r>
      <w:r>
        <w:rPr>
          <w:rFonts w:ascii="Times New Roman"/>
        </w:rPr>
        <w:t>根据食品的存储需求与投资运</w:t>
      </w:r>
      <w:r>
        <w:rPr>
          <w:rFonts w:hAnsi="宋体"/>
        </w:rPr>
        <w:t>营成本选用</w:t>
      </w:r>
      <w:r>
        <w:rPr>
          <w:rFonts w:hint="eastAsia" w:hAnsi="宋体"/>
        </w:rPr>
        <w:t>存</w:t>
      </w:r>
      <w:r>
        <w:rPr>
          <w:rFonts w:hAnsi="宋体"/>
        </w:rPr>
        <w:t>储</w:t>
      </w:r>
      <w:r>
        <w:rPr>
          <w:rFonts w:hint="eastAsia" w:hAnsi="宋体"/>
        </w:rPr>
        <w:t>设备</w:t>
      </w:r>
      <w:r>
        <w:rPr>
          <w:rFonts w:hAnsi="宋体"/>
        </w:rPr>
        <w:t>，包</w:t>
      </w:r>
      <w:r>
        <w:rPr>
          <w:rFonts w:hint="eastAsia" w:hAnsi="宋体"/>
        </w:rPr>
        <w:t>括但不限于</w:t>
      </w:r>
      <w:r>
        <w:rPr>
          <w:rFonts w:hAnsi="宋体"/>
          <w:lang w:bidi="zh-CN"/>
        </w:rPr>
        <w:t>GB/T 43910</w:t>
      </w:r>
      <w:r>
        <w:rPr>
          <w:rFonts w:hint="eastAsia" w:hAnsi="宋体"/>
          <w:lang w:bidi="zh-CN"/>
        </w:rPr>
        <w:t>中界定的设施设备</w:t>
      </w:r>
      <w:r>
        <w:rPr>
          <w:rFonts w:hint="eastAsia" w:hAnsi="宋体"/>
        </w:rPr>
        <w:t>，并执行</w:t>
      </w:r>
      <w:r>
        <w:rPr>
          <w:rFonts w:hAnsi="宋体"/>
        </w:rPr>
        <w:t>GB 14881—2025中5.1.8</w:t>
      </w:r>
      <w:r>
        <w:rPr>
          <w:rFonts w:hint="eastAsia" w:hAnsi="宋体"/>
        </w:rPr>
        <w:t>的规定。</w:t>
      </w:r>
    </w:p>
    <w:p w14:paraId="5F0AAC6F">
      <w:pPr>
        <w:pStyle w:val="97"/>
        <w:numPr>
          <w:ilvl w:val="2"/>
          <w:numId w:val="3"/>
        </w:numPr>
        <w:spacing w:before="120" w:beforeLines="50" w:line="360" w:lineRule="auto"/>
        <w:rPr>
          <w:rFonts w:hint="eastAsia" w:ascii="黑体" w:hAnsi="黑体" w:eastAsia="黑体"/>
        </w:rPr>
      </w:pPr>
      <w:r>
        <w:rPr>
          <w:rFonts w:hint="eastAsia" w:ascii="黑体" w:hAnsi="黑体" w:eastAsia="黑体"/>
        </w:rPr>
        <w:t>分拣设备</w:t>
      </w:r>
    </w:p>
    <w:p w14:paraId="3785F4CB">
      <w:pPr>
        <w:pStyle w:val="66"/>
        <w:ind w:firstLine="420"/>
        <w:rPr>
          <w:rFonts w:ascii="Times New Roman"/>
        </w:rPr>
      </w:pPr>
      <w:r>
        <w:rPr>
          <w:rFonts w:ascii="Times New Roman"/>
        </w:rPr>
        <w:t>宜根据食品分拣规模与投资运营成本选</w:t>
      </w:r>
      <w:r>
        <w:rPr>
          <w:rFonts w:hint="eastAsia" w:ascii="Times New Roman"/>
        </w:rPr>
        <w:t>用</w:t>
      </w:r>
      <w:r>
        <w:rPr>
          <w:rFonts w:ascii="Times New Roman"/>
        </w:rPr>
        <w:t>分拣设备，包</w:t>
      </w:r>
      <w:r>
        <w:rPr>
          <w:rFonts w:hint="eastAsia" w:ascii="Times New Roman"/>
        </w:rPr>
        <w:t>括但不限于</w:t>
      </w:r>
      <w:r>
        <w:rPr>
          <w:rFonts w:ascii="Times New Roman"/>
        </w:rPr>
        <w:t>电子标签、手持扫描设备、自动分拣</w:t>
      </w:r>
      <w:r>
        <w:rPr>
          <w:rFonts w:hint="eastAsia" w:ascii="Times New Roman"/>
        </w:rPr>
        <w:t>设备</w:t>
      </w:r>
      <w:r>
        <w:rPr>
          <w:rFonts w:ascii="Times New Roman"/>
        </w:rPr>
        <w:t>。</w:t>
      </w:r>
    </w:p>
    <w:p w14:paraId="290CDAC0">
      <w:pPr>
        <w:pStyle w:val="97"/>
        <w:numPr>
          <w:ilvl w:val="2"/>
          <w:numId w:val="3"/>
        </w:numPr>
        <w:spacing w:before="120" w:beforeLines="50" w:line="360" w:lineRule="auto"/>
        <w:rPr>
          <w:rFonts w:hint="eastAsia" w:ascii="黑体" w:hAnsi="黑体" w:eastAsia="黑体"/>
        </w:rPr>
      </w:pPr>
      <w:r>
        <w:rPr>
          <w:rFonts w:hint="eastAsia" w:ascii="黑体" w:hAnsi="黑体" w:eastAsia="黑体"/>
        </w:rPr>
        <w:t>搬运设备</w:t>
      </w:r>
    </w:p>
    <w:p w14:paraId="6D30CAC5">
      <w:pPr>
        <w:pStyle w:val="66"/>
        <w:ind w:firstLine="420"/>
        <w:rPr>
          <w:rFonts w:ascii="Times New Roman"/>
        </w:rPr>
      </w:pPr>
      <w:r>
        <w:rPr>
          <w:rFonts w:ascii="Times New Roman"/>
        </w:rPr>
        <w:t>宜选择与存储单元设备相匹配的搬运</w:t>
      </w:r>
      <w:r>
        <w:rPr>
          <w:rFonts w:hAnsi="宋体"/>
        </w:rPr>
        <w:t>设备，包</w:t>
      </w:r>
      <w:r>
        <w:rPr>
          <w:rFonts w:hint="eastAsia" w:hAnsi="宋体"/>
        </w:rPr>
        <w:t>括但不限于</w:t>
      </w:r>
      <w:r>
        <w:rPr>
          <w:rFonts w:hAnsi="宋体"/>
        </w:rPr>
        <w:t>AGV</w:t>
      </w:r>
      <w:r>
        <w:rPr>
          <w:rFonts w:hint="eastAsia" w:hAnsi="宋体"/>
        </w:rPr>
        <w:t>、</w:t>
      </w:r>
      <w:r>
        <w:rPr>
          <w:rFonts w:hAnsi="宋体"/>
        </w:rPr>
        <w:t>AMR</w:t>
      </w:r>
      <w:r>
        <w:rPr>
          <w:rFonts w:hint="eastAsia" w:hAnsi="宋体"/>
        </w:rPr>
        <w:t>、</w:t>
      </w:r>
      <w:r>
        <w:rPr>
          <w:rFonts w:hAnsi="宋体"/>
        </w:rPr>
        <w:t>蓄电瓶叉车、手动搬运车、输送带。</w:t>
      </w:r>
    </w:p>
    <w:p w14:paraId="03DFCB4D">
      <w:pPr>
        <w:pStyle w:val="97"/>
        <w:numPr>
          <w:ilvl w:val="2"/>
          <w:numId w:val="3"/>
        </w:numPr>
        <w:spacing w:before="120" w:beforeLines="50" w:line="360" w:lineRule="auto"/>
        <w:rPr>
          <w:rFonts w:hint="eastAsia" w:ascii="黑体" w:hAnsi="黑体" w:eastAsia="黑体"/>
        </w:rPr>
      </w:pPr>
      <w:r>
        <w:rPr>
          <w:rFonts w:hint="eastAsia" w:ascii="黑体" w:hAnsi="黑体" w:eastAsia="黑体"/>
        </w:rPr>
        <w:t>流通加工设备</w:t>
      </w:r>
    </w:p>
    <w:p w14:paraId="3B86F375">
      <w:pPr>
        <w:pStyle w:val="66"/>
        <w:ind w:firstLine="420"/>
        <w:rPr>
          <w:rFonts w:ascii="Times New Roman"/>
        </w:rPr>
      </w:pPr>
      <w:r>
        <w:rPr>
          <w:rFonts w:ascii="Times New Roman"/>
        </w:rPr>
        <w:t>宜选择与流通加工需求相匹配的设备，包</w:t>
      </w:r>
      <w:r>
        <w:rPr>
          <w:rFonts w:hint="eastAsia" w:ascii="Times New Roman"/>
        </w:rPr>
        <w:t>括但不限于流水线设备、</w:t>
      </w:r>
      <w:r>
        <w:rPr>
          <w:rFonts w:ascii="Times New Roman"/>
        </w:rPr>
        <w:t>包装机、贴标机。</w:t>
      </w:r>
    </w:p>
    <w:p w14:paraId="4336A8F8">
      <w:pPr>
        <w:pStyle w:val="97"/>
        <w:numPr>
          <w:ilvl w:val="2"/>
          <w:numId w:val="3"/>
        </w:numPr>
        <w:spacing w:before="120" w:beforeLines="50" w:line="360" w:lineRule="auto"/>
        <w:rPr>
          <w:rFonts w:hint="eastAsia" w:ascii="黑体" w:hAnsi="黑体" w:eastAsia="黑体"/>
        </w:rPr>
      </w:pPr>
      <w:r>
        <w:rPr>
          <w:rFonts w:hint="eastAsia" w:ascii="黑体" w:hAnsi="黑体" w:eastAsia="黑体"/>
        </w:rPr>
        <w:t>物流容器</w:t>
      </w:r>
    </w:p>
    <w:p w14:paraId="22FD074A">
      <w:pPr>
        <w:pStyle w:val="66"/>
        <w:ind w:firstLine="420"/>
        <w:rPr>
          <w:rFonts w:ascii="Times New Roman"/>
        </w:rPr>
      </w:pPr>
      <w:r>
        <w:rPr>
          <w:rFonts w:ascii="Times New Roman"/>
        </w:rPr>
        <w:t>宜选用与食品相匹配、符合国家标准尺寸、质量、包装模数的物流容器，包</w:t>
      </w:r>
      <w:r>
        <w:rPr>
          <w:rFonts w:hint="eastAsia" w:ascii="Times New Roman"/>
        </w:rPr>
        <w:t>括但不限于</w:t>
      </w:r>
      <w:r>
        <w:rPr>
          <w:rFonts w:ascii="Times New Roman"/>
        </w:rPr>
        <w:t>保温箱、周转箱（筐）</w:t>
      </w:r>
      <w:r>
        <w:rPr>
          <w:rFonts w:hint="eastAsia" w:ascii="Times New Roman"/>
        </w:rPr>
        <w:t>、</w:t>
      </w:r>
      <w:r>
        <w:rPr>
          <w:rFonts w:ascii="Times New Roman"/>
        </w:rPr>
        <w:t>托盘</w:t>
      </w:r>
      <w:r>
        <w:rPr>
          <w:rFonts w:hint="eastAsia" w:ascii="Times New Roman"/>
        </w:rPr>
        <w:t>、笼车</w:t>
      </w:r>
      <w:r>
        <w:rPr>
          <w:rFonts w:ascii="Times New Roman"/>
        </w:rPr>
        <w:t>。</w:t>
      </w:r>
    </w:p>
    <w:p w14:paraId="600D6983">
      <w:pPr>
        <w:pStyle w:val="97"/>
        <w:numPr>
          <w:ilvl w:val="2"/>
          <w:numId w:val="3"/>
        </w:numPr>
        <w:spacing w:before="120" w:beforeLines="50" w:line="360" w:lineRule="auto"/>
        <w:rPr>
          <w:rFonts w:hint="eastAsia" w:ascii="黑体" w:hAnsi="黑体" w:eastAsia="黑体"/>
        </w:rPr>
      </w:pPr>
      <w:r>
        <w:rPr>
          <w:rFonts w:hint="eastAsia" w:ascii="黑体" w:hAnsi="黑体" w:eastAsia="黑体"/>
        </w:rPr>
        <w:t>检测设备</w:t>
      </w:r>
    </w:p>
    <w:p w14:paraId="7D95B94D">
      <w:pPr>
        <w:pStyle w:val="66"/>
        <w:ind w:firstLine="420"/>
        <w:rPr>
          <w:rFonts w:ascii="Times New Roman"/>
        </w:rPr>
      </w:pPr>
      <w:r>
        <w:rPr>
          <w:rFonts w:ascii="Times New Roman"/>
        </w:rPr>
        <w:t>食品卫生检测设备的配备</w:t>
      </w:r>
      <w:r>
        <w:rPr>
          <w:rFonts w:hint="eastAsia" w:hAnsi="宋体"/>
        </w:rPr>
        <w:t>执行</w:t>
      </w:r>
      <w:r>
        <w:rPr>
          <w:rFonts w:hAnsi="宋体"/>
        </w:rPr>
        <w:t>GB 14881</w:t>
      </w:r>
      <w:r>
        <w:rPr>
          <w:rFonts w:hint="eastAsia" w:hAnsi="宋体"/>
        </w:rPr>
        <w:t>和</w:t>
      </w:r>
      <w:r>
        <w:rPr>
          <w:rFonts w:hAnsi="宋体"/>
        </w:rPr>
        <w:t>GB 31621的</w:t>
      </w:r>
      <w:r>
        <w:rPr>
          <w:rFonts w:hint="eastAsia" w:hAnsi="宋体"/>
        </w:rPr>
        <w:t>规定</w:t>
      </w:r>
      <w:r>
        <w:rPr>
          <w:rFonts w:hAnsi="宋体"/>
        </w:rPr>
        <w:t>。</w:t>
      </w:r>
    </w:p>
    <w:p w14:paraId="73F2C2B2">
      <w:pPr>
        <w:pStyle w:val="97"/>
        <w:numPr>
          <w:ilvl w:val="2"/>
          <w:numId w:val="3"/>
        </w:numPr>
        <w:spacing w:before="120" w:beforeLines="50" w:line="360" w:lineRule="auto"/>
        <w:rPr>
          <w:rFonts w:hint="eastAsia" w:ascii="黑体" w:hAnsi="黑体" w:eastAsia="黑体"/>
        </w:rPr>
      </w:pPr>
      <w:r>
        <w:rPr>
          <w:rFonts w:hint="eastAsia" w:ascii="黑体" w:hAnsi="黑体" w:eastAsia="黑体"/>
        </w:rPr>
        <w:t>网络及信息化设备</w:t>
      </w:r>
    </w:p>
    <w:p w14:paraId="43240D17">
      <w:pPr>
        <w:pStyle w:val="66"/>
        <w:ind w:firstLine="420"/>
      </w:pPr>
      <w:r>
        <w:rPr>
          <w:rFonts w:hint="eastAsia"/>
        </w:rPr>
        <w:t>结合作业要求，宜搭建库内网络设备，并进行合理布点实现作业区域全覆盖，配备相应的信息采集设备与后端的信息化系统相连接。</w:t>
      </w:r>
    </w:p>
    <w:p w14:paraId="591710E2">
      <w:pPr>
        <w:pStyle w:val="64"/>
        <w:numPr>
          <w:ilvl w:val="1"/>
          <w:numId w:val="3"/>
        </w:numPr>
        <w:spacing w:before="240" w:after="240"/>
      </w:pPr>
      <w:bookmarkStart w:id="114" w:name="_Toc240808150"/>
      <w:r>
        <w:rPr>
          <w:rFonts w:hint="eastAsia"/>
        </w:rPr>
        <w:t>能源与节能环保</w:t>
      </w:r>
      <w:bookmarkEnd w:id="114"/>
    </w:p>
    <w:p w14:paraId="64EF8CA9">
      <w:pPr>
        <w:pStyle w:val="97"/>
        <w:numPr>
          <w:ilvl w:val="2"/>
          <w:numId w:val="3"/>
        </w:numPr>
      </w:pPr>
      <w:r>
        <w:rPr>
          <w:rFonts w:hint="eastAsia"/>
        </w:rPr>
        <w:t>食品低温配送中心宜结合各功能区用能特征、冷负荷变化及业务峰谷规律，统筹规划供配电、制冷、给排水等能源系统，并预留设备扩容和能源接入条件；具备条件时，宜配置备用电源或储能设施，提高能源系统的可靠性和应急保障能力。</w:t>
      </w:r>
    </w:p>
    <w:p w14:paraId="54F41213">
      <w:pPr>
        <w:pStyle w:val="97"/>
        <w:numPr>
          <w:ilvl w:val="2"/>
          <w:numId w:val="3"/>
        </w:numPr>
      </w:pPr>
      <w:r>
        <w:rPr>
          <w:rFonts w:hint="eastAsia"/>
        </w:rPr>
        <w:t>宜根据屋面条件、当地日照资源及并网条件，合理采用分布式太阳能发电；具备条件时，宜配置电力储能设施，提高削峰填谷、新能源消纳和应急保供能力。</w:t>
      </w:r>
    </w:p>
    <w:p w14:paraId="32664536">
      <w:pPr>
        <w:pStyle w:val="97"/>
        <w:numPr>
          <w:ilvl w:val="2"/>
          <w:numId w:val="3"/>
        </w:numPr>
      </w:pPr>
      <w:r>
        <w:rPr>
          <w:lang w:bidi="zh-CN"/>
        </w:rPr>
        <w:t>宜建立能源管理体系，对电、水、气等能源资源实行分区、分项计量和动态监测，并与制冷、照明、充电及信息化系统协同管理；宜采用智慧节能管理系统，对主要用能设备进行能耗分析、运行优化和维护管理。</w:t>
      </w:r>
    </w:p>
    <w:p w14:paraId="1879E816">
      <w:pPr>
        <w:pStyle w:val="97"/>
        <w:numPr>
          <w:ilvl w:val="2"/>
          <w:numId w:val="3"/>
        </w:numPr>
      </w:pPr>
      <w:r>
        <w:rPr>
          <w:lang w:bidi="zh-CN"/>
        </w:rPr>
        <w:t>宜采用保温隔热性能良好的围护结构、冷库门和门封，并根据冷负荷变化选用高效制冷设备、变频制冷机组、热回收、地源热泵等节能技术；快速门、空气幕、照明及门区设施宜实施联动控制，并合理设置温湿度监测、自动调节和异常报警功能。</w:t>
      </w:r>
    </w:p>
    <w:p w14:paraId="17C941B4">
      <w:pPr>
        <w:pStyle w:val="97"/>
        <w:numPr>
          <w:ilvl w:val="2"/>
          <w:numId w:val="3"/>
        </w:numPr>
      </w:pPr>
      <w:r>
        <w:rPr>
          <w:lang w:bidi="zh-CN"/>
        </w:rPr>
        <w:t>宜选用对环境影响较小的制冷剂、制冷工艺和设备，并采取制冷剂泄漏监测、回收及规范处置等措施；合理设置废弃物收集、分类、暂存和清运场所，采用可循环使用、可再利用或易回收的物流容器和包装材料，减少一次性包装材料使用，并针对设备故障、自然灾害和食品质量问题等情形制定环境风险应急处置措施。</w:t>
      </w:r>
    </w:p>
    <w:p w14:paraId="1EEA423A">
      <w:pPr>
        <w:pStyle w:val="64"/>
        <w:numPr>
          <w:ilvl w:val="1"/>
          <w:numId w:val="3"/>
        </w:numPr>
        <w:spacing w:before="240" w:after="240"/>
      </w:pPr>
      <w:bookmarkStart w:id="115" w:name="_Toc240808151"/>
      <w:r>
        <w:rPr>
          <w:rFonts w:hint="eastAsia"/>
        </w:rPr>
        <w:t>安全与卫生</w:t>
      </w:r>
      <w:bookmarkEnd w:id="115"/>
    </w:p>
    <w:p w14:paraId="1BFB6884">
      <w:pPr>
        <w:pStyle w:val="97"/>
        <w:numPr>
          <w:ilvl w:val="2"/>
          <w:numId w:val="3"/>
        </w:numPr>
        <w:rPr>
          <w:rFonts w:ascii="Calibri" w:hAnsi="Calibri"/>
          <w:kern w:val="2"/>
          <w:szCs w:val="21"/>
        </w:rPr>
      </w:pPr>
      <w:r>
        <w:rPr>
          <w:rFonts w:ascii="Calibri" w:hAnsi="Calibri"/>
          <w:kern w:val="2"/>
          <w:szCs w:val="21"/>
        </w:rPr>
        <w:t>低温配送中心宜根据冷负荷、业务连续性和食品安全风险，配置与需要相适应的双回路供电、备用电源或应急供电设施，并宜设置必要的制冷系统冗余。</w:t>
      </w:r>
    </w:p>
    <w:p w14:paraId="16E54155">
      <w:pPr>
        <w:pStyle w:val="97"/>
        <w:numPr>
          <w:ilvl w:val="2"/>
          <w:numId w:val="3"/>
        </w:numPr>
        <w:rPr>
          <w:rFonts w:ascii="Calibri" w:hAnsi="Calibri"/>
          <w:kern w:val="2"/>
          <w:szCs w:val="21"/>
        </w:rPr>
      </w:pPr>
      <w:r>
        <w:rPr>
          <w:rFonts w:hint="eastAsia" w:ascii="Calibri" w:hAnsi="Calibri"/>
          <w:kern w:val="2"/>
          <w:szCs w:val="21"/>
        </w:rPr>
        <w:t>需遵循安全生产原则，符合相关防火要求。</w:t>
      </w:r>
    </w:p>
    <w:p w14:paraId="74082840">
      <w:pPr>
        <w:pStyle w:val="97"/>
        <w:numPr>
          <w:ilvl w:val="2"/>
          <w:numId w:val="3"/>
        </w:numPr>
        <w:rPr>
          <w:rFonts w:ascii="Calibri" w:hAnsi="Calibri"/>
          <w:kern w:val="2"/>
          <w:szCs w:val="21"/>
        </w:rPr>
      </w:pPr>
      <w:r>
        <w:rPr>
          <w:rFonts w:ascii="Calibri" w:hAnsi="Calibri"/>
          <w:kern w:val="2"/>
          <w:szCs w:val="21"/>
        </w:rPr>
        <w:t>冷库、控温站台、制冷机房、充电区等区域</w:t>
      </w:r>
      <w:r>
        <w:rPr>
          <w:rFonts w:hint="eastAsia" w:ascii="Calibri" w:hAnsi="Calibri"/>
          <w:kern w:val="2"/>
          <w:szCs w:val="21"/>
        </w:rPr>
        <w:t>宜</w:t>
      </w:r>
      <w:r>
        <w:rPr>
          <w:rFonts w:ascii="Calibri" w:hAnsi="Calibri"/>
          <w:kern w:val="2"/>
          <w:szCs w:val="21"/>
        </w:rPr>
        <w:t>设置安全警示、防滑、防撞、应急照明、应急断电和防困人等安全设施，消防设计符合相关规定。宜针对停电、制冷故障、火灾、极端天气、食品温度异常等情形制定应急预案，并明确食品隔离、温度监测、设备恢复和信息报告等措施。</w:t>
      </w:r>
    </w:p>
    <w:p w14:paraId="77FD1F4D">
      <w:pPr>
        <w:pStyle w:val="97"/>
        <w:numPr>
          <w:ilvl w:val="2"/>
          <w:numId w:val="3"/>
        </w:numPr>
        <w:rPr>
          <w:rFonts w:ascii="Calibri" w:hAnsi="Calibri"/>
          <w:kern w:val="2"/>
          <w:szCs w:val="21"/>
        </w:rPr>
      </w:pPr>
      <w:r>
        <w:rPr>
          <w:rFonts w:ascii="Calibri" w:hAnsi="Calibri"/>
          <w:kern w:val="2"/>
          <w:szCs w:val="21"/>
        </w:rPr>
        <w:t>食品作业区</w:t>
      </w:r>
      <w:r>
        <w:rPr>
          <w:rFonts w:hint="eastAsia" w:ascii="Calibri" w:hAnsi="Calibri"/>
          <w:kern w:val="2"/>
          <w:szCs w:val="21"/>
        </w:rPr>
        <w:t>宜</w:t>
      </w:r>
      <w:r>
        <w:rPr>
          <w:rFonts w:ascii="Calibri" w:hAnsi="Calibri"/>
          <w:kern w:val="2"/>
          <w:szCs w:val="21"/>
        </w:rPr>
        <w:t>根据食品类别、卫生要求和作业流程合理布局，</w:t>
      </w:r>
      <w:r>
        <w:rPr>
          <w:rFonts w:hint="eastAsia" w:ascii="Calibri" w:hAnsi="Calibri"/>
          <w:kern w:val="2"/>
          <w:szCs w:val="21"/>
        </w:rPr>
        <w:t>建立清洁、消毒</w:t>
      </w:r>
      <w:r>
        <w:rPr>
          <w:rFonts w:hint="eastAsia" w:hAnsi="宋体"/>
          <w:kern w:val="2"/>
          <w:szCs w:val="21"/>
        </w:rPr>
        <w:t>流程，执行</w:t>
      </w:r>
      <w:r>
        <w:rPr>
          <w:rFonts w:hAnsi="宋体"/>
          <w:kern w:val="2"/>
          <w:szCs w:val="21"/>
        </w:rPr>
        <w:t>GB 31605</w:t>
      </w:r>
      <w:r>
        <w:rPr>
          <w:rFonts w:hint="eastAsia" w:ascii="Calibri" w:hAnsi="Calibri"/>
          <w:kern w:val="2"/>
          <w:szCs w:val="21"/>
        </w:rPr>
        <w:t>的规定。</w:t>
      </w:r>
    </w:p>
    <w:p w14:paraId="44A6B725">
      <w:pPr>
        <w:pStyle w:val="97"/>
        <w:numPr>
          <w:ilvl w:val="2"/>
          <w:numId w:val="3"/>
        </w:numPr>
        <w:rPr>
          <w:rFonts w:ascii="Calibri" w:hAnsi="Calibri"/>
          <w:kern w:val="2"/>
          <w:szCs w:val="21"/>
        </w:rPr>
      </w:pPr>
      <w:r>
        <w:rPr>
          <w:rFonts w:ascii="Calibri" w:hAnsi="Calibri"/>
          <w:kern w:val="2"/>
          <w:szCs w:val="21"/>
        </w:rPr>
        <w:t>排水、通风及废弃物暂存设施的设置</w:t>
      </w:r>
      <w:r>
        <w:rPr>
          <w:rFonts w:hint="eastAsia" w:ascii="Calibri" w:hAnsi="Calibri"/>
          <w:kern w:val="2"/>
          <w:szCs w:val="21"/>
        </w:rPr>
        <w:t>宜根据</w:t>
      </w:r>
      <w:r>
        <w:rPr>
          <w:rFonts w:ascii="Calibri" w:hAnsi="Calibri"/>
          <w:kern w:val="2"/>
          <w:szCs w:val="21"/>
        </w:rPr>
        <w:t>食品和作业环境</w:t>
      </w:r>
      <w:r>
        <w:rPr>
          <w:rFonts w:hint="eastAsia" w:ascii="Calibri" w:hAnsi="Calibri"/>
          <w:kern w:val="2"/>
          <w:szCs w:val="21"/>
        </w:rPr>
        <w:t>的</w:t>
      </w:r>
      <w:r>
        <w:rPr>
          <w:rFonts w:ascii="Calibri" w:hAnsi="Calibri"/>
          <w:kern w:val="2"/>
          <w:szCs w:val="21"/>
        </w:rPr>
        <w:t>污染</w:t>
      </w:r>
      <w:r>
        <w:rPr>
          <w:rFonts w:hint="eastAsia" w:ascii="Calibri" w:hAnsi="Calibri"/>
          <w:kern w:val="2"/>
          <w:szCs w:val="21"/>
        </w:rPr>
        <w:t>风险因素</w:t>
      </w:r>
      <w:r>
        <w:rPr>
          <w:rFonts w:ascii="Calibri" w:hAnsi="Calibri"/>
          <w:kern w:val="2"/>
          <w:szCs w:val="21"/>
        </w:rPr>
        <w:t>，采取防虫、防鼠、防蝇等措施</w:t>
      </w:r>
      <w:r>
        <w:rPr>
          <w:rFonts w:hint="eastAsia" w:ascii="Calibri" w:hAnsi="Calibri"/>
          <w:kern w:val="2"/>
          <w:szCs w:val="21"/>
        </w:rPr>
        <w:t>。</w:t>
      </w:r>
    </w:p>
    <w:p w14:paraId="4ACCEF1E">
      <w:pPr>
        <w:pStyle w:val="64"/>
        <w:numPr>
          <w:ilvl w:val="1"/>
          <w:numId w:val="3"/>
        </w:numPr>
        <w:spacing w:before="240" w:after="240"/>
      </w:pPr>
      <w:bookmarkStart w:id="116" w:name="_Toc237260289"/>
      <w:bookmarkEnd w:id="116"/>
      <w:bookmarkStart w:id="117" w:name="_Toc237260288"/>
      <w:bookmarkEnd w:id="117"/>
      <w:bookmarkStart w:id="118" w:name="_Toc240808152"/>
      <w:r>
        <w:rPr>
          <w:rFonts w:hint="eastAsia"/>
        </w:rPr>
        <w:t>信息化与智能化</w:t>
      </w:r>
      <w:bookmarkEnd w:id="118"/>
    </w:p>
    <w:p w14:paraId="32FE2239">
      <w:pPr>
        <w:pStyle w:val="97"/>
        <w:numPr>
          <w:ilvl w:val="2"/>
          <w:numId w:val="3"/>
        </w:numPr>
      </w:pPr>
      <w:r>
        <w:rPr>
          <w:rFonts w:hint="eastAsia" w:ascii="Times New Roman"/>
        </w:rPr>
        <w:t>宜</w:t>
      </w:r>
      <w:r>
        <w:rPr>
          <w:rFonts w:ascii="Times New Roman"/>
        </w:rPr>
        <w:t>在各功能区域安装温度测量与传感设备、温度报警设备，并与信息管理系统实现对接。</w:t>
      </w:r>
    </w:p>
    <w:p w14:paraId="5A73B3C1">
      <w:pPr>
        <w:pStyle w:val="97"/>
        <w:numPr>
          <w:ilvl w:val="2"/>
          <w:numId w:val="3"/>
        </w:numPr>
      </w:pPr>
      <w:r>
        <w:rPr>
          <w:rFonts w:hint="eastAsia" w:ascii="Times New Roman"/>
        </w:rPr>
        <w:t>宜</w:t>
      </w:r>
      <w:r>
        <w:rPr>
          <w:rFonts w:ascii="Times New Roman"/>
        </w:rPr>
        <w:t>在各作业区域安装监控</w:t>
      </w:r>
      <w:r>
        <w:rPr>
          <w:rFonts w:hint="eastAsia" w:ascii="Times New Roman"/>
        </w:rPr>
        <w:t>与智能识别</w:t>
      </w:r>
      <w:r>
        <w:rPr>
          <w:rFonts w:ascii="Times New Roman"/>
        </w:rPr>
        <w:t>设备。</w:t>
      </w:r>
    </w:p>
    <w:p w14:paraId="23C3E528">
      <w:pPr>
        <w:pStyle w:val="97"/>
        <w:numPr>
          <w:ilvl w:val="2"/>
          <w:numId w:val="3"/>
        </w:numPr>
      </w:pPr>
      <w:r>
        <w:rPr>
          <w:rFonts w:hint="eastAsia" w:ascii="Times New Roman"/>
        </w:rPr>
        <w:t>宜根据</w:t>
      </w:r>
      <w:r>
        <w:rPr>
          <w:rFonts w:ascii="Times New Roman"/>
        </w:rPr>
        <w:t>作业</w:t>
      </w:r>
      <w:r>
        <w:rPr>
          <w:rFonts w:hint="eastAsia" w:ascii="Times New Roman"/>
        </w:rPr>
        <w:t>需求</w:t>
      </w:r>
      <w:r>
        <w:rPr>
          <w:rFonts w:ascii="Times New Roman"/>
        </w:rPr>
        <w:t>建立信息管理系统，按需求规划系统相应的功能</w:t>
      </w:r>
      <w:r>
        <w:rPr>
          <w:rFonts w:hint="eastAsia" w:ascii="Times New Roman"/>
        </w:rPr>
        <w:t>，并</w:t>
      </w:r>
      <w:r>
        <w:rPr>
          <w:rFonts w:ascii="Times New Roman"/>
        </w:rPr>
        <w:t>开设或预留与客户、供应商间系统接口</w:t>
      </w:r>
      <w:r>
        <w:rPr>
          <w:rFonts w:hint="eastAsia" w:ascii="Times New Roman"/>
        </w:rPr>
        <w:t>。</w:t>
      </w:r>
    </w:p>
    <w:p w14:paraId="2D3AF48B">
      <w:pPr>
        <w:pStyle w:val="97"/>
        <w:numPr>
          <w:ilvl w:val="2"/>
          <w:numId w:val="3"/>
        </w:numPr>
      </w:pPr>
      <w:r>
        <w:rPr>
          <w:rFonts w:ascii="Times New Roman"/>
        </w:rPr>
        <w:t>信息系统</w:t>
      </w:r>
      <w:r>
        <w:rPr>
          <w:rFonts w:hint="eastAsia" w:ascii="Times New Roman"/>
        </w:rPr>
        <w:t>宜</w:t>
      </w:r>
      <w:r>
        <w:rPr>
          <w:rFonts w:ascii="Times New Roman"/>
        </w:rPr>
        <w:t>由</w:t>
      </w:r>
      <w:r>
        <w:rPr>
          <w:rFonts w:hint="eastAsia" w:hAnsi="宋体"/>
        </w:rPr>
        <w:t>仓库管理系统</w:t>
      </w:r>
      <w:r>
        <w:rPr>
          <w:rFonts w:hAnsi="宋体"/>
        </w:rPr>
        <w:t>、运输管理系统</w:t>
      </w:r>
      <w:r>
        <w:rPr>
          <w:rFonts w:hint="eastAsia" w:hAnsi="宋体"/>
        </w:rPr>
        <w:t>、</w:t>
      </w:r>
      <w:r>
        <w:rPr>
          <w:rFonts w:hAnsi="宋体"/>
        </w:rPr>
        <w:t>订单管理系统</w:t>
      </w:r>
      <w:r>
        <w:rPr>
          <w:rFonts w:hint="eastAsia" w:hAnsi="宋体"/>
        </w:rPr>
        <w:t>、</w:t>
      </w:r>
      <w:r>
        <w:rPr>
          <w:rFonts w:hAnsi="宋体"/>
        </w:rPr>
        <w:t>车辆及</w:t>
      </w:r>
      <w:r>
        <w:rPr>
          <w:rFonts w:ascii="Times New Roman"/>
        </w:rPr>
        <w:t>人员</w:t>
      </w:r>
      <w:r>
        <w:rPr>
          <w:rFonts w:hint="eastAsia" w:hAnsi="宋体"/>
        </w:rPr>
        <w:t>管理系统</w:t>
      </w:r>
      <w:r>
        <w:rPr>
          <w:rFonts w:hAnsi="宋体"/>
        </w:rPr>
        <w:t>等组成，配备自动化设备的</w:t>
      </w:r>
      <w:r>
        <w:rPr>
          <w:rFonts w:hint="eastAsia" w:hAnsi="宋体"/>
        </w:rPr>
        <w:t>宜采用自动化控制系统</w:t>
      </w:r>
      <w:r>
        <w:rPr>
          <w:rFonts w:hAnsi="宋体"/>
        </w:rPr>
        <w:t>、</w:t>
      </w:r>
      <w:r>
        <w:rPr>
          <w:rFonts w:hint="eastAsia" w:hAnsi="宋体"/>
        </w:rPr>
        <w:t>物联网</w:t>
      </w:r>
      <w:r>
        <w:rPr>
          <w:rFonts w:hAnsi="宋体"/>
        </w:rPr>
        <w:t>等技术。</w:t>
      </w:r>
    </w:p>
    <w:p w14:paraId="49C43723">
      <w:pPr>
        <w:pStyle w:val="97"/>
        <w:numPr>
          <w:ilvl w:val="2"/>
          <w:numId w:val="3"/>
        </w:numPr>
        <w:rPr>
          <w:rFonts w:ascii="Times New Roman"/>
        </w:rPr>
      </w:pPr>
      <w:r>
        <w:rPr>
          <w:rFonts w:hint="eastAsia" w:ascii="Times New Roman"/>
        </w:rPr>
        <w:t>宜</w:t>
      </w:r>
      <w:r>
        <w:rPr>
          <w:rFonts w:hint="eastAsia" w:ascii="Calibri" w:hAnsi="Calibri"/>
          <w:kern w:val="2"/>
          <w:szCs w:val="21"/>
        </w:rPr>
        <w:t>建立智能化应用系统，</w:t>
      </w:r>
      <w:bookmarkStart w:id="119" w:name="OLE_LINK3"/>
      <w:r>
        <w:rPr>
          <w:rFonts w:hint="eastAsia" w:ascii="Calibri" w:hAnsi="Calibri"/>
          <w:kern w:val="2"/>
          <w:szCs w:val="21"/>
        </w:rPr>
        <w:t>包括但不限于物业管理、消防管理</w:t>
      </w:r>
      <w:bookmarkEnd w:id="119"/>
      <w:r>
        <w:rPr>
          <w:rFonts w:hint="eastAsia" w:ascii="Calibri" w:hAnsi="Calibri"/>
          <w:kern w:val="2"/>
          <w:szCs w:val="21"/>
        </w:rPr>
        <w:t>、数字化与智能化仓储、</w:t>
      </w:r>
      <w:bookmarkStart w:id="120" w:name="OLE_LINK5"/>
      <w:r>
        <w:rPr>
          <w:rFonts w:hint="eastAsia" w:ascii="Calibri" w:hAnsi="Calibri"/>
          <w:kern w:val="2"/>
          <w:szCs w:val="21"/>
        </w:rPr>
        <w:t>无人值守</w:t>
      </w:r>
      <w:bookmarkEnd w:id="120"/>
      <w:r>
        <w:rPr>
          <w:rFonts w:hint="eastAsia" w:ascii="Calibri" w:hAnsi="Calibri"/>
          <w:kern w:val="2"/>
          <w:szCs w:val="21"/>
        </w:rPr>
        <w:t>、智慧能源管理系统。</w:t>
      </w:r>
    </w:p>
    <w:p w14:paraId="07840DDD">
      <w:pPr>
        <w:pStyle w:val="97"/>
        <w:numPr>
          <w:ilvl w:val="2"/>
          <w:numId w:val="3"/>
        </w:numPr>
        <w:rPr>
          <w:rFonts w:ascii="Times New Roman"/>
        </w:rPr>
      </w:pPr>
      <w:r>
        <w:rPr>
          <w:rFonts w:hint="eastAsia" w:ascii="Times New Roman"/>
        </w:rPr>
        <w:t>追溯体系建设中的信息采</w:t>
      </w:r>
      <w:r>
        <w:rPr>
          <w:rFonts w:hint="eastAsia" w:hAnsi="宋体"/>
        </w:rPr>
        <w:t>集及记录部分宜依据</w:t>
      </w:r>
      <w:r>
        <w:rPr>
          <w:rFonts w:hAnsi="宋体"/>
        </w:rPr>
        <w:t>GB/T 28843</w:t>
      </w:r>
      <w:r>
        <w:rPr>
          <w:rFonts w:hint="eastAsia" w:hAnsi="宋体"/>
        </w:rPr>
        <w:t>—</w:t>
      </w:r>
      <w:r>
        <w:rPr>
          <w:rFonts w:hAnsi="宋体"/>
        </w:rPr>
        <w:t>2024</w:t>
      </w:r>
      <w:r>
        <w:rPr>
          <w:rFonts w:hint="eastAsia" w:hAnsi="宋体"/>
        </w:rPr>
        <w:t>第</w:t>
      </w:r>
      <w:r>
        <w:rPr>
          <w:rFonts w:hAnsi="宋体"/>
        </w:rPr>
        <w:t>6</w:t>
      </w:r>
      <w:r>
        <w:rPr>
          <w:rFonts w:hint="eastAsia" w:hAnsi="宋体"/>
        </w:rPr>
        <w:t>章的相关内容和要求。</w:t>
      </w:r>
    </w:p>
    <w:p w14:paraId="70148A15">
      <w:pPr>
        <w:pStyle w:val="49"/>
        <w:numPr>
          <w:ilvl w:val="1"/>
          <w:numId w:val="4"/>
        </w:numPr>
        <w:shd w:val="clear" w:color="auto" w:fill="auto"/>
        <w:spacing w:before="0"/>
        <w:jc w:val="both"/>
        <w:rPr>
          <w:rFonts w:hint="eastAsia"/>
        </w:rPr>
        <w:sectPr>
          <w:headerReference r:id="rId17" w:type="first"/>
          <w:headerReference r:id="rId15" w:type="default"/>
          <w:footerReference r:id="rId18" w:type="default"/>
          <w:headerReference r:id="rId16" w:type="even"/>
          <w:footerReference r:id="rId19" w:type="even"/>
          <w:pgSz w:w="11900" w:h="16840"/>
          <w:pgMar w:top="1928" w:right="1134" w:bottom="1134" w:left="1134" w:header="0" w:footer="6" w:gutter="284"/>
          <w:pgNumType w:start="8"/>
          <w:cols w:space="720" w:num="1"/>
          <w:titlePg/>
          <w:docGrid w:linePitch="360" w:charSpace="0"/>
        </w:sectPr>
      </w:pPr>
    </w:p>
    <w:p w14:paraId="5F024DAD">
      <w:pPr>
        <w:pStyle w:val="23"/>
        <w:shd w:val="clear" w:color="auto" w:fill="auto"/>
        <w:spacing w:after="254" w:line="200" w:lineRule="exact"/>
        <w:ind w:left="340"/>
        <w:jc w:val="center"/>
        <w:outlineLvl w:val="0"/>
        <w:rPr>
          <w:rFonts w:hint="eastAsia" w:ascii="黑体" w:hAnsi="黑体" w:eastAsia="黑体"/>
        </w:rPr>
      </w:pPr>
      <w:bookmarkStart w:id="121" w:name="_Toc240808153"/>
      <w:r>
        <w:rPr>
          <w:rStyle w:val="62"/>
          <w:rFonts w:ascii="黑体" w:hAnsi="黑体" w:eastAsia="黑体"/>
        </w:rPr>
        <w:t>参考文献</w:t>
      </w:r>
      <w:bookmarkEnd w:id="121"/>
    </w:p>
    <w:p w14:paraId="766ABE09">
      <w:pPr>
        <w:pStyle w:val="66"/>
        <w:numPr>
          <w:ilvl w:val="1"/>
          <w:numId w:val="5"/>
        </w:numPr>
        <w:ind w:firstLineChars="0"/>
      </w:pPr>
      <w:r>
        <w:rPr>
          <w:rFonts w:hint="eastAsia"/>
        </w:rPr>
        <w:t xml:space="preserve"> GB/T 28577—2021 冷链物流分类与基本要求</w:t>
      </w:r>
    </w:p>
    <w:p w14:paraId="78095774">
      <w:pPr>
        <w:pStyle w:val="66"/>
        <w:numPr>
          <w:ilvl w:val="1"/>
          <w:numId w:val="5"/>
        </w:numPr>
        <w:ind w:firstLineChars="0"/>
      </w:pPr>
      <w:r>
        <w:rPr>
          <w:rFonts w:hint="eastAsia"/>
        </w:rPr>
        <w:t xml:space="preserve"> </w:t>
      </w:r>
      <w:r>
        <w:t>GB/T 30134</w:t>
      </w:r>
      <w:r>
        <w:rPr>
          <w:rFonts w:hint="eastAsia"/>
        </w:rPr>
        <w:t>—</w:t>
      </w:r>
      <w:r>
        <w:t>2025</w:t>
      </w:r>
      <w:r>
        <w:rPr>
          <w:rFonts w:hint="eastAsia"/>
        </w:rPr>
        <w:t xml:space="preserve"> 冷库管理规范</w:t>
      </w:r>
    </w:p>
    <w:p w14:paraId="196CE478">
      <w:pPr>
        <w:pStyle w:val="66"/>
        <w:numPr>
          <w:ilvl w:val="1"/>
          <w:numId w:val="5"/>
        </w:numPr>
        <w:ind w:firstLineChars="0"/>
      </w:pPr>
      <w:r>
        <w:rPr>
          <w:rFonts w:hint="eastAsia"/>
        </w:rPr>
        <w:t xml:space="preserve"> GB/T 31078—2024 低温仓储作业规范</w:t>
      </w:r>
    </w:p>
    <w:p w14:paraId="018595A8">
      <w:pPr>
        <w:pStyle w:val="66"/>
        <w:numPr>
          <w:ilvl w:val="1"/>
          <w:numId w:val="5"/>
        </w:numPr>
        <w:ind w:firstLineChars="0"/>
      </w:pPr>
      <w:r>
        <w:rPr>
          <w:rFonts w:hint="eastAsia"/>
        </w:rPr>
        <w:t xml:space="preserve"> </w:t>
      </w:r>
      <w:r>
        <w:t>GB/T 31086</w:t>
      </w:r>
      <w:r>
        <w:rPr>
          <w:rFonts w:hint="eastAsia"/>
        </w:rPr>
        <w:t>—</w:t>
      </w:r>
      <w:r>
        <w:t>2025</w:t>
      </w:r>
      <w:r>
        <w:rPr>
          <w:rFonts w:hint="eastAsia"/>
        </w:rPr>
        <w:t xml:space="preserve"> 物流企业冷链服务能力要求与评估指标</w:t>
      </w:r>
      <w:r>
        <w:t xml:space="preserve"> </w:t>
      </w:r>
    </w:p>
    <w:p w14:paraId="7CCAFB22">
      <w:pPr>
        <w:pStyle w:val="66"/>
        <w:numPr>
          <w:ilvl w:val="255"/>
          <w:numId w:val="0"/>
        </w:numPr>
        <w:ind w:left="440"/>
      </w:pPr>
    </w:p>
    <w:p w14:paraId="121154E5">
      <w:pPr>
        <w:pStyle w:val="66"/>
        <w:ind w:firstLine="0" w:firstLineChars="0"/>
        <w:jc w:val="center"/>
        <w:rPr>
          <w:color w:val="000000" w:themeColor="text1"/>
          <w14:textFill>
            <w14:solidFill>
              <w14:schemeClr w14:val="tx1"/>
            </w14:solidFill>
          </w14:textFill>
        </w:rPr>
      </w:pPr>
    </w:p>
    <w:p w14:paraId="3DF298DA">
      <w:pPr>
        <w:pStyle w:val="66"/>
        <w:ind w:firstLine="0" w:firstLineChars="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drawing>
          <wp:inline distT="0" distB="0" distL="114300" distR="114300">
            <wp:extent cx="1485900" cy="317500"/>
            <wp:effectExtent l="0" t="0" r="0" b="6350"/>
            <wp:docPr id="3" name="图片 3" descr="1"/>
            <wp:cNvGraphicFramePr/>
            <a:graphic xmlns:a="http://schemas.openxmlformats.org/drawingml/2006/main">
              <a:graphicData uri="http://schemas.openxmlformats.org/drawingml/2006/picture">
                <pic:pic xmlns:pic="http://schemas.openxmlformats.org/drawingml/2006/picture">
                  <pic:nvPicPr>
                    <pic:cNvPr id="3" name="图片 3" descr="1"/>
                    <pic:cNvPicPr/>
                  </pic:nvPicPr>
                  <pic:blipFill>
                    <a:blip r:embed="rId23"/>
                    <a:stretch>
                      <a:fillRect/>
                    </a:stretch>
                  </pic:blipFill>
                  <pic:spPr>
                    <a:xfrm>
                      <a:off x="0" y="0"/>
                      <a:ext cx="1485900" cy="317500"/>
                    </a:xfrm>
                    <a:prstGeom prst="rect">
                      <a:avLst/>
                    </a:prstGeom>
                  </pic:spPr>
                </pic:pic>
              </a:graphicData>
            </a:graphic>
          </wp:inline>
        </w:drawing>
      </w:r>
    </w:p>
    <w:p w14:paraId="1EDEBDDC">
      <w:pPr>
        <w:pStyle w:val="66"/>
        <w:numPr>
          <w:ilvl w:val="255"/>
          <w:numId w:val="0"/>
        </w:numPr>
        <w:ind w:left="440"/>
      </w:pPr>
    </w:p>
    <w:p w14:paraId="62267284">
      <w:pPr>
        <w:pStyle w:val="66"/>
        <w:numPr>
          <w:ilvl w:val="255"/>
          <w:numId w:val="0"/>
        </w:numPr>
        <w:ind w:left="440"/>
      </w:pPr>
    </w:p>
    <w:sectPr>
      <w:pgSz w:w="11900" w:h="16840"/>
      <w:pgMar w:top="2497" w:right="971" w:bottom="2497" w:left="1088" w:header="0" w:footer="3"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PMingLiU">
    <w:altName w:val="PMingLiU-ExtB"/>
    <w:panose1 w:val="02020500000000000000"/>
    <w:charset w:val="88"/>
    <w:family w:val="roman"/>
    <w:pitch w:val="default"/>
    <w:sig w:usb0="00000000" w:usb1="00000000" w:usb2="00000016" w:usb3="00000000" w:csb0="00100001" w:csb1="00000000"/>
  </w:font>
  <w:font w:name="HiddenHorzOCR-Identity-H">
    <w:altName w:val="Cambria"/>
    <w:panose1 w:val="00000000000000000000"/>
    <w:charset w:val="00"/>
    <w:family w:val="roman"/>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544420">
    <w:pPr>
      <w:pStyle w:val="7"/>
    </w:pPr>
    <w:r>
      <w:fldChar w:fldCharType="begin"/>
    </w:r>
    <w:r>
      <w:instrText xml:space="preserve">PAGE   \* MERGEFORMAT</w:instrText>
    </w:r>
    <w:r>
      <w:fldChar w:fldCharType="separate"/>
    </w:r>
    <w: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F4DA7B">
    <w:pPr>
      <w:pStyle w:val="7"/>
      <w:ind w:right="720"/>
      <w:jc w:val="both"/>
      <w:rPr>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D4F819">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733963">
    <w:pPr>
      <w:pStyle w:val="7"/>
      <w:adjustRightInd w:val="0"/>
      <w:rPr>
        <w:rFonts w:eastAsiaTheme="minorEastAsia"/>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9F4723">
    <w:pPr>
      <w:pStyle w:val="7"/>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0ECC2B"/>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61F0D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15077E">
    <w:pPr>
      <w:pStyle w:val="8"/>
      <w:wordWrap w:val="0"/>
      <w:jc w:val="right"/>
      <w:rPr>
        <w:rFonts w:hint="eastAsia"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B788B8">
    <w:pPr>
      <w:pStyle w:val="8"/>
      <w:jc w:val="both"/>
      <w:rPr>
        <w:sz w:val="2"/>
        <w:szCs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F200D8">
    <w:pPr>
      <w:rPr>
        <w:sz w:val="2"/>
        <w:szCs w:val="2"/>
      </w:rPr>
    </w:pPr>
    <w:r>
      <mc:AlternateContent>
        <mc:Choice Requires="wps">
          <w:drawing>
            <wp:anchor distT="0" distB="0" distL="63500" distR="63500" simplePos="0" relativeHeight="251662336" behindDoc="1" locked="0" layoutInCell="1" allowOverlap="1">
              <wp:simplePos x="0" y="0"/>
              <wp:positionH relativeFrom="page">
                <wp:posOffset>5721985</wp:posOffset>
              </wp:positionH>
              <wp:positionV relativeFrom="page">
                <wp:posOffset>603885</wp:posOffset>
              </wp:positionV>
              <wp:extent cx="1160780" cy="194945"/>
              <wp:effectExtent l="0" t="3810" r="3810" b="1270"/>
              <wp:wrapNone/>
              <wp:docPr id="1554220234" name="Text Box 8"/>
              <wp:cNvGraphicFramePr/>
              <a:graphic xmlns:a="http://schemas.openxmlformats.org/drawingml/2006/main">
                <a:graphicData uri="http://schemas.microsoft.com/office/word/2010/wordprocessingShape">
                  <wps:wsp>
                    <wps:cNvSpPr txBox="1">
                      <a:spLocks noChangeArrowheads="1"/>
                    </wps:cNvSpPr>
                    <wps:spPr bwMode="auto">
                      <a:xfrm>
                        <a:off x="0" y="0"/>
                        <a:ext cx="1160780" cy="194945"/>
                      </a:xfrm>
                      <a:prstGeom prst="rect">
                        <a:avLst/>
                      </a:prstGeom>
                      <a:noFill/>
                      <a:ln>
                        <a:noFill/>
                      </a:ln>
                    </wps:spPr>
                    <wps:txbx>
                      <w:txbxContent>
                        <w:p w14:paraId="68F9A115">
                          <w:pPr>
                            <w:pStyle w:val="34"/>
                            <w:shd w:val="clear" w:color="auto" w:fill="auto"/>
                            <w:spacing w:line="240" w:lineRule="auto"/>
                            <w:rPr>
                              <w:rFonts w:eastAsiaTheme="minorEastAsia"/>
                              <w:lang w:eastAsia="zh-CN"/>
                            </w:rPr>
                          </w:pPr>
                          <w:r>
                            <w:rPr>
                              <w:rStyle w:val="35"/>
                            </w:rPr>
                            <w:t>GB/T 38375—</w:t>
                          </w:r>
                          <w:r>
                            <w:rPr>
                              <w:rStyle w:val="35"/>
                              <w:rFonts w:hint="eastAsia" w:eastAsiaTheme="minorEastAsia"/>
                              <w:lang w:eastAsia="zh-CN"/>
                            </w:rPr>
                            <w:t>XXXX</w:t>
                          </w:r>
                        </w:p>
                      </w:txbxContent>
                    </wps:txbx>
                    <wps:bodyPr rot="0" vert="horz" wrap="none" lIns="0" tIns="0" rIns="0" bIns="0" anchor="t" anchorCtr="0" upright="1">
                      <a:spAutoFit/>
                    </wps:bodyPr>
                  </wps:wsp>
                </a:graphicData>
              </a:graphic>
            </wp:anchor>
          </w:drawing>
        </mc:Choice>
        <mc:Fallback>
          <w:pict>
            <v:shape id="Text Box 8" o:spid="_x0000_s1026" o:spt="202" type="#_x0000_t202" style="position:absolute;left:0pt;margin-left:450.55pt;margin-top:47.55pt;height:15.35pt;width:91.4pt;mso-position-horizontal-relative:page;mso-position-vertical-relative:page;mso-wrap-style:none;z-index:-251654144;mso-width-relative:page;mso-height-relative:page;" filled="f" stroked="f" coordsize="21600,21600" o:gfxdata="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3Aba81gAAAAsBAAAPAAAAAAAAAAEAIAAAACIAAABkcnMvZG93&#10;bnJldi54bWxQSwECFAAUAAAACACHTuJA3r75uQICAAALBAAADgAAAAAAAAABACAAAAAlAQAAZHJz&#10;L2Uyb0RvYy54bWxQSwUGAAAAAAYABgBZAQAAmQUAAAAA&#10;">
              <v:fill on="f" focussize="0,0"/>
              <v:stroke on="f"/>
              <v:imagedata o:title=""/>
              <o:lock v:ext="edit" aspectratio="f"/>
              <v:textbox inset="0mm,0mm,0mm,0mm" style="mso-fit-shape-to-text:t;">
                <w:txbxContent>
                  <w:p w14:paraId="68F9A115">
                    <w:pPr>
                      <w:pStyle w:val="34"/>
                      <w:shd w:val="clear" w:color="auto" w:fill="auto"/>
                      <w:spacing w:line="240" w:lineRule="auto"/>
                      <w:rPr>
                        <w:rFonts w:eastAsiaTheme="minorEastAsia"/>
                        <w:lang w:eastAsia="zh-CN"/>
                      </w:rPr>
                    </w:pPr>
                    <w:r>
                      <w:rPr>
                        <w:rStyle w:val="35"/>
                      </w:rPr>
                      <w:t>GB/T 38375—</w:t>
                    </w:r>
                    <w:r>
                      <w:rPr>
                        <w:rStyle w:val="35"/>
                        <w:rFonts w:hint="eastAsia" w:eastAsiaTheme="minorEastAsia"/>
                        <w:lang w:eastAsia="zh-CN"/>
                      </w:rPr>
                      <w:t>XXXX</w:t>
                    </w:r>
                  </w:p>
                </w:txbxContent>
              </v:textbox>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4AEDC0">
    <w:pPr>
      <w:rPr>
        <w:sz w:val="2"/>
        <w:szCs w:val="2"/>
      </w:rPr>
    </w:pPr>
    <w:r>
      <mc:AlternateContent>
        <mc:Choice Requires="wps">
          <w:drawing>
            <wp:anchor distT="0" distB="0" distL="63500" distR="63500" simplePos="0" relativeHeight="251660288" behindDoc="1" locked="0" layoutInCell="1" allowOverlap="1">
              <wp:simplePos x="0" y="0"/>
              <wp:positionH relativeFrom="page">
                <wp:posOffset>625475</wp:posOffset>
              </wp:positionH>
              <wp:positionV relativeFrom="page">
                <wp:posOffset>371475</wp:posOffset>
              </wp:positionV>
              <wp:extent cx="1160780" cy="194945"/>
              <wp:effectExtent l="0" t="0" r="4445" b="0"/>
              <wp:wrapNone/>
              <wp:docPr id="463687929" name="Text Box 9"/>
              <wp:cNvGraphicFramePr/>
              <a:graphic xmlns:a="http://schemas.openxmlformats.org/drawingml/2006/main">
                <a:graphicData uri="http://schemas.microsoft.com/office/word/2010/wordprocessingShape">
                  <wps:wsp>
                    <wps:cNvSpPr txBox="1">
                      <a:spLocks noChangeArrowheads="1"/>
                    </wps:cNvSpPr>
                    <wps:spPr bwMode="auto">
                      <a:xfrm>
                        <a:off x="0" y="0"/>
                        <a:ext cx="1160780" cy="194945"/>
                      </a:xfrm>
                      <a:prstGeom prst="rect">
                        <a:avLst/>
                      </a:prstGeom>
                      <a:noFill/>
                      <a:ln>
                        <a:noFill/>
                      </a:ln>
                    </wps:spPr>
                    <wps:txbx>
                      <w:txbxContent>
                        <w:p w14:paraId="28488663">
                          <w:pPr>
                            <w:pStyle w:val="34"/>
                            <w:shd w:val="clear" w:color="auto" w:fill="auto"/>
                            <w:spacing w:line="240" w:lineRule="auto"/>
                            <w:rPr>
                              <w:rFonts w:eastAsiaTheme="minorEastAsia"/>
                              <w:lang w:eastAsia="zh-CN"/>
                            </w:rPr>
                          </w:pPr>
                          <w:r>
                            <w:rPr>
                              <w:rStyle w:val="35"/>
                            </w:rPr>
                            <w:t>GB/T 38375—</w:t>
                          </w:r>
                          <w:r>
                            <w:rPr>
                              <w:rStyle w:val="35"/>
                              <w:rFonts w:hint="eastAsia" w:eastAsiaTheme="minorEastAsia"/>
                              <w:lang w:eastAsia="zh-CN"/>
                            </w:rPr>
                            <w:t>XXXX</w:t>
                          </w:r>
                        </w:p>
                      </w:txbxContent>
                    </wps:txbx>
                    <wps:bodyPr rot="0" vert="horz" wrap="none" lIns="0" tIns="0" rIns="0" bIns="0" anchor="t" anchorCtr="0" upright="1">
                      <a:spAutoFit/>
                    </wps:bodyPr>
                  </wps:wsp>
                </a:graphicData>
              </a:graphic>
            </wp:anchor>
          </w:drawing>
        </mc:Choice>
        <mc:Fallback>
          <w:pict>
            <v:shape id="Text Box 9" o:spid="_x0000_s1026" o:spt="202" type="#_x0000_t202" style="position:absolute;left:0pt;margin-left:49.25pt;margin-top:29.25pt;height:15.35pt;width:91.4pt;mso-position-horizontal-relative:page;mso-position-vertical-relative:page;mso-wrap-style:none;z-index:-251656192;mso-width-relative:page;mso-height-relative:page;" filled="f" stroked="f" coordsize="21600,21600" o:gfxdata="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LanCj3VAAAACAEAAA8AAAAAAAAAAQAgAAAAIgAAAGRycy9kb3du&#10;cmV2LnhtbFBLAQIUABQAAAAIAIdO4kD7Dot3AgIAAAoEAAAOAAAAAAAAAAEAIAAAACQBAABkcnMv&#10;ZTJvRG9jLnhtbFBLBQYAAAAABgAGAFkBAACYBQAAAAA=&#10;">
              <v:fill on="f" focussize="0,0"/>
              <v:stroke on="f"/>
              <v:imagedata o:title=""/>
              <o:lock v:ext="edit" aspectratio="f"/>
              <v:textbox inset="0mm,0mm,0mm,0mm" style="mso-fit-shape-to-text:t;">
                <w:txbxContent>
                  <w:p w14:paraId="28488663">
                    <w:pPr>
                      <w:pStyle w:val="34"/>
                      <w:shd w:val="clear" w:color="auto" w:fill="auto"/>
                      <w:spacing w:line="240" w:lineRule="auto"/>
                      <w:rPr>
                        <w:rFonts w:eastAsiaTheme="minorEastAsia"/>
                        <w:lang w:eastAsia="zh-CN"/>
                      </w:rPr>
                    </w:pPr>
                    <w:r>
                      <w:rPr>
                        <w:rStyle w:val="35"/>
                      </w:rPr>
                      <w:t>GB/T 38375—</w:t>
                    </w:r>
                    <w:r>
                      <w:rPr>
                        <w:rStyle w:val="35"/>
                        <w:rFonts w:hint="eastAsia" w:eastAsiaTheme="minorEastAsia"/>
                        <w:lang w:eastAsia="zh-CN"/>
                      </w:rPr>
                      <w:t>XXXX</w:t>
                    </w:r>
                  </w:p>
                </w:txbxContent>
              </v:textbox>
            </v:shape>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7EF6D5">
    <w:pPr>
      <w:pStyle w:val="8"/>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4EA490">
    <w:pPr>
      <w:rPr>
        <w:sz w:val="2"/>
        <w:szCs w:val="2"/>
      </w:rPr>
    </w:pPr>
    <w:r>
      <mc:AlternateContent>
        <mc:Choice Requires="wps">
          <w:drawing>
            <wp:anchor distT="0" distB="0" distL="63500" distR="63500" simplePos="0" relativeHeight="251661312" behindDoc="1" locked="0" layoutInCell="1" allowOverlap="1">
              <wp:simplePos x="0" y="0"/>
              <wp:positionH relativeFrom="page">
                <wp:posOffset>625475</wp:posOffset>
              </wp:positionH>
              <wp:positionV relativeFrom="page">
                <wp:posOffset>371475</wp:posOffset>
              </wp:positionV>
              <wp:extent cx="1160780" cy="194945"/>
              <wp:effectExtent l="0" t="0" r="4445" b="0"/>
              <wp:wrapNone/>
              <wp:docPr id="1552369610" name="Text Box 2"/>
              <wp:cNvGraphicFramePr/>
              <a:graphic xmlns:a="http://schemas.openxmlformats.org/drawingml/2006/main">
                <a:graphicData uri="http://schemas.microsoft.com/office/word/2010/wordprocessingShape">
                  <wps:wsp>
                    <wps:cNvSpPr txBox="1">
                      <a:spLocks noChangeArrowheads="1"/>
                    </wps:cNvSpPr>
                    <wps:spPr bwMode="auto">
                      <a:xfrm>
                        <a:off x="0" y="0"/>
                        <a:ext cx="1160780" cy="194945"/>
                      </a:xfrm>
                      <a:prstGeom prst="rect">
                        <a:avLst/>
                      </a:prstGeom>
                      <a:noFill/>
                      <a:ln>
                        <a:noFill/>
                      </a:ln>
                    </wps:spPr>
                    <wps:txbx>
                      <w:txbxContent>
                        <w:p w14:paraId="48DA83F1">
                          <w:pPr>
                            <w:pStyle w:val="34"/>
                            <w:shd w:val="clear" w:color="auto" w:fill="auto"/>
                            <w:spacing w:line="240" w:lineRule="auto"/>
                          </w:pPr>
                          <w:r>
                            <w:rPr>
                              <w:rStyle w:val="35"/>
                            </w:rPr>
                            <w:t>GB/T 38375—</w:t>
                          </w:r>
                          <w:r>
                            <w:rPr>
                              <w:rStyle w:val="35"/>
                              <w:rFonts w:hint="eastAsia" w:asciiTheme="minorEastAsia" w:hAnsiTheme="minorEastAsia" w:eastAsiaTheme="minorEastAsia"/>
                              <w:lang w:eastAsia="zh-CN"/>
                            </w:rPr>
                            <w:t>XXXX</w:t>
                          </w:r>
                        </w:p>
                      </w:txbxContent>
                    </wps:txbx>
                    <wps:bodyPr rot="0" vert="horz" wrap="none" lIns="0" tIns="0" rIns="0" bIns="0" anchor="t" anchorCtr="0" upright="1">
                      <a:spAutoFit/>
                    </wps:bodyPr>
                  </wps:wsp>
                </a:graphicData>
              </a:graphic>
            </wp:anchor>
          </w:drawing>
        </mc:Choice>
        <mc:Fallback>
          <w:pict>
            <v:shape id="Text Box 2" o:spid="_x0000_s1026" o:spt="202" type="#_x0000_t202" style="position:absolute;left:0pt;margin-left:49.25pt;margin-top:29.25pt;height:15.35pt;width:91.4pt;mso-position-horizontal-relative:page;mso-position-vertical-relative:page;mso-wrap-style:none;z-index:-251655168;mso-width-relative:page;mso-height-relative:page;" filled="f" stroked="f" coordsize="21600,21600" o:gfxdata="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LanCj3VAAAACAEAAA8AAAAAAAAAAQAgAAAAIgAAAGRycy9kb3du&#10;cmV2LnhtbFBLAQIUABQAAAAIAIdO4kAadn4YAgIAAAsEAAAOAAAAAAAAAAEAIAAAACQBAABkcnMv&#10;ZTJvRG9jLnhtbFBLBQYAAAAABgAGAFkBAACYBQAAAAA=&#10;">
              <v:fill on="f" focussize="0,0"/>
              <v:stroke on="f"/>
              <v:imagedata o:title=""/>
              <o:lock v:ext="edit" aspectratio="f"/>
              <v:textbox inset="0mm,0mm,0mm,0mm" style="mso-fit-shape-to-text:t;">
                <w:txbxContent>
                  <w:p w14:paraId="48DA83F1">
                    <w:pPr>
                      <w:pStyle w:val="34"/>
                      <w:shd w:val="clear" w:color="auto" w:fill="auto"/>
                      <w:spacing w:line="240" w:lineRule="auto"/>
                    </w:pPr>
                    <w:r>
                      <w:rPr>
                        <w:rStyle w:val="35"/>
                      </w:rPr>
                      <w:t>GB/T 38375—</w:t>
                    </w:r>
                    <w:r>
                      <w:rPr>
                        <w:rStyle w:val="35"/>
                        <w:rFonts w:hint="eastAsia" w:asciiTheme="minorEastAsia" w:hAnsiTheme="minorEastAsia" w:eastAsiaTheme="minorEastAsia"/>
                        <w:lang w:eastAsia="zh-CN"/>
                      </w:rPr>
                      <w:t>XXXX</w:t>
                    </w:r>
                  </w:p>
                </w:txbxContent>
              </v:textbox>
            </v:shape>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262BC">
    <w:pPr>
      <w:rPr>
        <w:sz w:val="2"/>
        <w:szCs w:val="2"/>
      </w:rPr>
    </w:pPr>
    <w:r>
      <mc:AlternateContent>
        <mc:Choice Requires="wps">
          <w:drawing>
            <wp:anchor distT="0" distB="0" distL="63500" distR="63500" simplePos="0" relativeHeight="251661312" behindDoc="1" locked="0" layoutInCell="1" allowOverlap="1">
              <wp:simplePos x="0" y="0"/>
              <wp:positionH relativeFrom="page">
                <wp:posOffset>625475</wp:posOffset>
              </wp:positionH>
              <wp:positionV relativeFrom="page">
                <wp:posOffset>371475</wp:posOffset>
              </wp:positionV>
              <wp:extent cx="1118235" cy="180975"/>
              <wp:effectExtent l="0" t="0" r="0" b="0"/>
              <wp:wrapNone/>
              <wp:docPr id="487538311" name="Text Box 3"/>
              <wp:cNvGraphicFramePr/>
              <a:graphic xmlns:a="http://schemas.openxmlformats.org/drawingml/2006/main">
                <a:graphicData uri="http://schemas.microsoft.com/office/word/2010/wordprocessingShape">
                  <wps:wsp>
                    <wps:cNvSpPr txBox="1">
                      <a:spLocks noChangeArrowheads="1"/>
                    </wps:cNvSpPr>
                    <wps:spPr bwMode="auto">
                      <a:xfrm>
                        <a:off x="0" y="0"/>
                        <a:ext cx="1118235" cy="180975"/>
                      </a:xfrm>
                      <a:prstGeom prst="rect">
                        <a:avLst/>
                      </a:prstGeom>
                      <a:noFill/>
                      <a:ln>
                        <a:noFill/>
                      </a:ln>
                    </wps:spPr>
                    <wps:txbx>
                      <w:txbxContent>
                        <w:p w14:paraId="0214184F">
                          <w:pPr>
                            <w:pStyle w:val="34"/>
                            <w:shd w:val="clear" w:color="auto" w:fill="auto"/>
                            <w:spacing w:line="240" w:lineRule="auto"/>
                          </w:pPr>
                          <w:r>
                            <w:rPr>
                              <w:rStyle w:val="35"/>
                            </w:rPr>
                            <w:t>GB/T 38375—2019</w:t>
                          </w:r>
                        </w:p>
                      </w:txbxContent>
                    </wps:txbx>
                    <wps:bodyPr rot="0" vert="horz" wrap="none" lIns="0" tIns="0" rIns="0" bIns="0" anchor="t" anchorCtr="0" upright="1">
                      <a:spAutoFit/>
                    </wps:bodyPr>
                  </wps:wsp>
                </a:graphicData>
              </a:graphic>
            </wp:anchor>
          </w:drawing>
        </mc:Choice>
        <mc:Fallback>
          <w:pict>
            <v:shape id="Text Box 3" o:spid="_x0000_s1026" o:spt="202" type="#_x0000_t202" style="position:absolute;left:0pt;margin-left:49.25pt;margin-top:29.25pt;height:14.25pt;width:88.05pt;mso-position-horizontal-relative:page;mso-position-vertical-relative:page;mso-wrap-style:none;z-index:-251655168;mso-width-relative:page;mso-height-relative:page;" filled="f" stroked="f" coordsize="21600,21600" o:gfxdata="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FJfUwTVAAAACAEAAA8AAAAAAAAAAQAgAAAAIgAAAGRycy9kb3du&#10;cmV2LnhtbFBLAQIUABQAAAAIAIdO4kDxnLbUAgIAAAoEAAAOAAAAAAAAAAEAIAAAACQBAABkcnMv&#10;ZTJvRG9jLnhtbFBLBQYAAAAABgAGAFkBAACYBQAAAAA=&#10;">
              <v:fill on="f" focussize="0,0"/>
              <v:stroke on="f"/>
              <v:imagedata o:title=""/>
              <o:lock v:ext="edit" aspectratio="f"/>
              <v:textbox inset="0mm,0mm,0mm,0mm" style="mso-fit-shape-to-text:t;">
                <w:txbxContent>
                  <w:p w14:paraId="0214184F">
                    <w:pPr>
                      <w:pStyle w:val="34"/>
                      <w:shd w:val="clear" w:color="auto" w:fill="auto"/>
                      <w:spacing w:line="240" w:lineRule="auto"/>
                    </w:pPr>
                    <w:r>
                      <w:rPr>
                        <w:rStyle w:val="35"/>
                      </w:rPr>
                      <w:t>GB/T 38375—2019</w:t>
                    </w:r>
                  </w:p>
                </w:txbxContent>
              </v:textbox>
            </v:shape>
          </w:pict>
        </mc:Fallback>
      </mc:AlternateConten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49025B">
    <w:pPr>
      <w:rPr>
        <w:sz w:val="2"/>
        <w:szCs w:val="2"/>
      </w:rPr>
    </w:pPr>
    <w:r>
      <mc:AlternateContent>
        <mc:Choice Requires="wps">
          <w:drawing>
            <wp:anchor distT="0" distB="0" distL="63500" distR="63500" simplePos="0" relativeHeight="251659264" behindDoc="1" locked="0" layoutInCell="1" allowOverlap="1">
              <wp:simplePos x="0" y="0"/>
              <wp:positionH relativeFrom="page">
                <wp:posOffset>5721985</wp:posOffset>
              </wp:positionH>
              <wp:positionV relativeFrom="page">
                <wp:posOffset>603885</wp:posOffset>
              </wp:positionV>
              <wp:extent cx="1160780" cy="194945"/>
              <wp:effectExtent l="0" t="3810" r="3810" b="1270"/>
              <wp:wrapNone/>
              <wp:docPr id="104452345" name="Text Box 1"/>
              <wp:cNvGraphicFramePr/>
              <a:graphic xmlns:a="http://schemas.openxmlformats.org/drawingml/2006/main">
                <a:graphicData uri="http://schemas.microsoft.com/office/word/2010/wordprocessingShape">
                  <wps:wsp>
                    <wps:cNvSpPr txBox="1">
                      <a:spLocks noChangeArrowheads="1"/>
                    </wps:cNvSpPr>
                    <wps:spPr bwMode="auto">
                      <a:xfrm>
                        <a:off x="0" y="0"/>
                        <a:ext cx="1160780" cy="194945"/>
                      </a:xfrm>
                      <a:prstGeom prst="rect">
                        <a:avLst/>
                      </a:prstGeom>
                      <a:noFill/>
                      <a:ln>
                        <a:noFill/>
                      </a:ln>
                    </wps:spPr>
                    <wps:txbx>
                      <w:txbxContent>
                        <w:p w14:paraId="3214278D">
                          <w:pPr>
                            <w:pStyle w:val="34"/>
                            <w:shd w:val="clear" w:color="auto" w:fill="auto"/>
                            <w:spacing w:line="240" w:lineRule="auto"/>
                            <w:rPr>
                              <w:rFonts w:eastAsiaTheme="minorEastAsia"/>
                              <w:lang w:eastAsia="zh-CN"/>
                            </w:rPr>
                          </w:pPr>
                          <w:r>
                            <w:rPr>
                              <w:rStyle w:val="35"/>
                            </w:rPr>
                            <w:t>GB/T 38375—</w:t>
                          </w:r>
                          <w:r>
                            <w:rPr>
                              <w:rStyle w:val="35"/>
                              <w:rFonts w:hint="eastAsia" w:eastAsiaTheme="minorEastAsia"/>
                              <w:lang w:eastAsia="zh-CN"/>
                            </w:rPr>
                            <w:t>XXXX</w:t>
                          </w:r>
                        </w:p>
                      </w:txbxContent>
                    </wps:txbx>
                    <wps:bodyPr rot="0" vert="horz" wrap="none" lIns="0" tIns="0" rIns="0" bIns="0" anchor="t" anchorCtr="0" upright="1">
                      <a:spAutoFit/>
                    </wps:bodyPr>
                  </wps:wsp>
                </a:graphicData>
              </a:graphic>
            </wp:anchor>
          </w:drawing>
        </mc:Choice>
        <mc:Fallback>
          <w:pict>
            <v:shape id="Text Box 1" o:spid="_x0000_s1026" o:spt="202" type="#_x0000_t202" style="position:absolute;left:0pt;margin-left:450.55pt;margin-top:47.55pt;height:15.35pt;width:91.4pt;mso-position-horizontal-relative:page;mso-position-vertical-relative:page;mso-wrap-style:none;z-index:-251657216;mso-width-relative:page;mso-height-relative:page;" filled="f" stroked="f" coordsize="21600,21600" o:gfxdata="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NwG2vNYAAAALAQAADwAAAAAAAAABACAAAAAiAAAAZHJzL2Rvd25y&#10;ZXYueG1sUEsBAhQAFAAAAAgAh07iQABuHywAAgAACgQAAA4AAAAAAAAAAQAgAAAAJQEAAGRycy9l&#10;Mm9Eb2MueG1sUEsFBgAAAAAGAAYAWQEAAJcFAAAAAA==&#10;">
              <v:fill on="f" focussize="0,0"/>
              <v:stroke on="f"/>
              <v:imagedata o:title=""/>
              <o:lock v:ext="edit" aspectratio="f"/>
              <v:textbox inset="0mm,0mm,0mm,0mm" style="mso-fit-shape-to-text:t;">
                <w:txbxContent>
                  <w:p w14:paraId="3214278D">
                    <w:pPr>
                      <w:pStyle w:val="34"/>
                      <w:shd w:val="clear" w:color="auto" w:fill="auto"/>
                      <w:spacing w:line="240" w:lineRule="auto"/>
                      <w:rPr>
                        <w:rFonts w:eastAsiaTheme="minorEastAsia"/>
                        <w:lang w:eastAsia="zh-CN"/>
                      </w:rPr>
                    </w:pPr>
                    <w:r>
                      <w:rPr>
                        <w:rStyle w:val="35"/>
                      </w:rPr>
                      <w:t>GB/T 38375—</w:t>
                    </w:r>
                    <w:r>
                      <w:rPr>
                        <w:rStyle w:val="35"/>
                        <w:rFonts w:hint="eastAsia" w:eastAsiaTheme="minorEastAsia"/>
                        <w:lang w:eastAsia="zh-CN"/>
                      </w:rPr>
                      <w:t>XXXX</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37933"/>
    <w:multiLevelType w:val="multilevel"/>
    <w:tmpl w:val="02837933"/>
    <w:lvl w:ilvl="0" w:tentative="0">
      <w:start w:val="1"/>
      <w:numFmt w:val="decimal"/>
      <w:pStyle w:val="81"/>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pStyle w:val="98"/>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1">
    <w:nsid w:val="16322638"/>
    <w:multiLevelType w:val="multilevel"/>
    <w:tmpl w:val="16322638"/>
    <w:lvl w:ilvl="0" w:tentative="0">
      <w:start w:val="1"/>
      <w:numFmt w:val="decimal"/>
      <w:lvlText w:val="[%1]"/>
      <w:lvlJc w:val="left"/>
      <w:rPr>
        <w:rFonts w:ascii="PMingLiU" w:hAnsi="PMingLiU" w:eastAsia="PMingLiU" w:cs="PMingLiU"/>
        <w:b w:val="0"/>
        <w:bCs w:val="0"/>
        <w:i w:val="0"/>
        <w:iCs w:val="0"/>
        <w:smallCaps w:val="0"/>
        <w:strike w:val="0"/>
        <w:color w:val="000000"/>
        <w:spacing w:val="30"/>
        <w:w w:val="100"/>
        <w:position w:val="0"/>
        <w:sz w:val="20"/>
        <w:szCs w:val="20"/>
        <w:u w:val="none"/>
        <w:lang w:val="en-US" w:eastAsia="en-US" w:bidi="en-US"/>
      </w:rPr>
    </w:lvl>
    <w:lvl w:ilvl="1" w:tentative="0">
      <w:start w:val="0"/>
      <w:numFmt w:val="decimal"/>
      <w:pStyle w:val="64"/>
      <w:lvlText w:val=""/>
      <w:lvlJc w:val="left"/>
    </w:lvl>
    <w:lvl w:ilvl="2" w:tentative="0">
      <w:start w:val="0"/>
      <w:numFmt w:val="decimal"/>
      <w:pStyle w:val="68"/>
      <w:lvlText w:val=""/>
      <w:lvlJc w:val="left"/>
    </w:lvl>
    <w:lvl w:ilvl="3" w:tentative="0">
      <w:start w:val="0"/>
      <w:numFmt w:val="decimal"/>
      <w:pStyle w:val="69"/>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
    <w:nsid w:val="532039BB"/>
    <w:multiLevelType w:val="multilevel"/>
    <w:tmpl w:val="532039BB"/>
    <w:lvl w:ilvl="0" w:tentative="0">
      <w:start w:val="1"/>
      <w:numFmt w:val="decimal"/>
      <w:lvlText w:val="%1"/>
      <w:lvlJc w:val="left"/>
      <w:pPr>
        <w:ind w:left="440" w:hanging="440"/>
      </w:pPr>
      <w:rPr>
        <w:rFonts w:hint="eastAsia"/>
      </w:rPr>
    </w:lvl>
    <w:lvl w:ilvl="1" w:tentative="0">
      <w:start w:val="1"/>
      <w:numFmt w:val="decimal"/>
      <w:isLgl/>
      <w:lvlText w:val="%1.%2"/>
      <w:lvlJc w:val="left"/>
      <w:pPr>
        <w:ind w:left="528" w:hanging="528"/>
      </w:pPr>
      <w:rPr>
        <w:rFonts w:hint="default" w:ascii="黑体" w:hAnsi="黑体" w:eastAsia="黑体"/>
      </w:rPr>
    </w:lvl>
    <w:lvl w:ilvl="2" w:tentative="0">
      <w:start w:val="1"/>
      <w:numFmt w:val="decimal"/>
      <w:isLgl/>
      <w:lvlText w:val="%1.%2.%3"/>
      <w:lvlJc w:val="left"/>
      <w:pPr>
        <w:ind w:left="528" w:hanging="528"/>
      </w:pPr>
      <w:rPr>
        <w:rFonts w:hint="default" w:ascii="黑体" w:hAnsi="黑体" w:eastAsia="黑体"/>
        <w:strike w:val="0"/>
      </w:rPr>
    </w:lvl>
    <w:lvl w:ilvl="3" w:tentative="0">
      <w:start w:val="1"/>
      <w:numFmt w:val="decimal"/>
      <w:isLgl/>
      <w:lvlText w:val="%1.%2.%3.%4"/>
      <w:lvlJc w:val="left"/>
      <w:pPr>
        <w:ind w:left="528" w:hanging="528"/>
      </w:pPr>
      <w:rPr>
        <w:rFonts w:hint="default"/>
      </w:rPr>
    </w:lvl>
    <w:lvl w:ilvl="4" w:tentative="0">
      <w:start w:val="1"/>
      <w:numFmt w:val="decimal"/>
      <w:isLgl/>
      <w:lvlText w:val="%1.%2.%3.%4.%5"/>
      <w:lvlJc w:val="left"/>
      <w:pPr>
        <w:ind w:left="528" w:hanging="528"/>
      </w:pPr>
      <w:rPr>
        <w:rFonts w:hint="default"/>
      </w:rPr>
    </w:lvl>
    <w:lvl w:ilvl="5" w:tentative="0">
      <w:start w:val="1"/>
      <w:numFmt w:val="decimal"/>
      <w:isLgl/>
      <w:lvlText w:val="%1.%2.%3.%4.%5.%6"/>
      <w:lvlJc w:val="left"/>
      <w:pPr>
        <w:ind w:left="528" w:hanging="528"/>
      </w:pPr>
      <w:rPr>
        <w:rFonts w:hint="default"/>
      </w:rPr>
    </w:lvl>
    <w:lvl w:ilvl="6" w:tentative="0">
      <w:start w:val="1"/>
      <w:numFmt w:val="decimal"/>
      <w:isLgl/>
      <w:lvlText w:val="%1.%2.%3.%4.%5.%6.%7"/>
      <w:lvlJc w:val="left"/>
      <w:pPr>
        <w:ind w:left="528" w:hanging="528"/>
      </w:pPr>
      <w:rPr>
        <w:rFonts w:hint="default"/>
      </w:rPr>
    </w:lvl>
    <w:lvl w:ilvl="7" w:tentative="0">
      <w:start w:val="1"/>
      <w:numFmt w:val="decimal"/>
      <w:isLgl/>
      <w:lvlText w:val="%1.%2.%3.%4.%5.%6.%7.%8"/>
      <w:lvlJc w:val="left"/>
      <w:pPr>
        <w:ind w:left="528" w:hanging="528"/>
      </w:pPr>
      <w:rPr>
        <w:rFonts w:hint="default"/>
      </w:rPr>
    </w:lvl>
    <w:lvl w:ilvl="8" w:tentative="0">
      <w:start w:val="1"/>
      <w:numFmt w:val="decimal"/>
      <w:isLgl/>
      <w:lvlText w:val="%1.%2.%3.%4.%5.%6.%7.%8.%9"/>
      <w:lvlJc w:val="left"/>
      <w:pPr>
        <w:ind w:left="528" w:hanging="528"/>
      </w:pPr>
      <w:rPr>
        <w:rFonts w:hint="default"/>
      </w:rPr>
    </w:lvl>
  </w:abstractNum>
  <w:abstractNum w:abstractNumId="3">
    <w:nsid w:val="67155833"/>
    <w:multiLevelType w:val="multilevel"/>
    <w:tmpl w:val="67155833"/>
    <w:lvl w:ilvl="0" w:tentative="0">
      <w:start w:val="1"/>
      <w:numFmt w:val="decimal"/>
      <w:lvlText w:val="4.%1"/>
      <w:lvlJc w:val="left"/>
      <w:pPr>
        <w:ind w:left="440" w:hanging="440"/>
      </w:pPr>
      <w:rPr>
        <w:rFonts w:hint="eastAsia" w:ascii="黑体" w:hAnsi="黑体" w:eastAsia="黑体"/>
        <w:color w:val="000000" w:themeColor="text1"/>
        <w14:textFill>
          <w14:solidFill>
            <w14:schemeClr w14:val="tx1"/>
          </w14:solidFill>
        </w14:textFill>
      </w:rPr>
    </w:lvl>
    <w:lvl w:ilvl="1" w:tentative="0">
      <w:start w:val="1"/>
      <w:numFmt w:val="decimal"/>
      <w:lvlText w:val="[%2]"/>
      <w:lvlJc w:val="left"/>
      <w:pPr>
        <w:ind w:left="764" w:hanging="324"/>
      </w:pPr>
      <w:rPr>
        <w:rFonts w:hint="default"/>
      </w:r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4">
    <w:nsid w:val="6CEA2025"/>
    <w:multiLevelType w:val="multilevel"/>
    <w:tmpl w:val="6CEA2025"/>
    <w:lvl w:ilvl="0" w:tentative="0">
      <w:start w:val="1"/>
      <w:numFmt w:val="none"/>
      <w:suff w:val="nothing"/>
      <w:lvlText w:val="%1"/>
      <w:lvlJc w:val="left"/>
      <w:pPr>
        <w:ind w:left="0" w:firstLine="0"/>
      </w:pPr>
      <w:rPr>
        <w:rFonts w:hint="eastAsia"/>
      </w:rPr>
    </w:lvl>
    <w:lvl w:ilvl="1" w:tentative="0">
      <w:start w:val="1"/>
      <w:numFmt w:val="decimal"/>
      <w:suff w:val="nothing"/>
      <w:lvlText w:val="%1%2　"/>
      <w:lvlJc w:val="left"/>
      <w:pPr>
        <w:ind w:left="0" w:firstLine="0"/>
      </w:pPr>
      <w:rPr>
        <w:rFonts w:hint="eastAsia" w:ascii="黑体" w:eastAsia="黑体"/>
        <w:b w:val="0"/>
        <w:i w:val="0"/>
        <w:sz w:val="21"/>
      </w:rPr>
    </w:lvl>
    <w:lvl w:ilvl="2" w:tentative="0">
      <w:start w:val="1"/>
      <w:numFmt w:val="decimal"/>
      <w:suff w:val="nothing"/>
      <w:lvlText w:val="%1%2.%3　"/>
      <w:lvlJc w:val="left"/>
      <w:pPr>
        <w:ind w:left="0" w:firstLine="0"/>
      </w:pPr>
      <w:rPr>
        <w:rFonts w:hint="default"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3" w:tentative="0">
      <w:start w:val="1"/>
      <w:numFmt w:val="decimal"/>
      <w:suff w:val="nothing"/>
      <w:lvlText w:val="%1%2.%3.%4　"/>
      <w:lvlJc w:val="left"/>
      <w:pPr>
        <w:ind w:left="993" w:firstLine="0"/>
      </w:pPr>
      <w:rPr>
        <w:rFonts w:hint="eastAsia" w:ascii="黑体" w:eastAsia="黑体"/>
        <w:b w:val="0"/>
        <w:i w:val="0"/>
        <w:sz w:val="21"/>
      </w:rPr>
    </w:lvl>
    <w:lvl w:ilvl="4" w:tentative="0">
      <w:start w:val="1"/>
      <w:numFmt w:val="decimal"/>
      <w:suff w:val="nothing"/>
      <w:lvlText w:val="%1%2.%3.%4.%5　"/>
      <w:lvlJc w:val="left"/>
      <w:pPr>
        <w:ind w:left="0" w:firstLine="0"/>
      </w:pPr>
      <w:rPr>
        <w:rFonts w:hint="eastAsia" w:ascii="黑体" w:eastAsia="黑体"/>
        <w:b w:val="0"/>
        <w:i w:val="0"/>
        <w:sz w:val="21"/>
      </w:rPr>
    </w:lvl>
    <w:lvl w:ilvl="5" w:tentative="0">
      <w:start w:val="1"/>
      <w:numFmt w:val="decimal"/>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num w:numId="1">
    <w:abstractNumId w:val="1"/>
  </w:num>
  <w:num w:numId="2">
    <w:abstractNumId w:val="0"/>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evenAndOddHeaders w:val="1"/>
  <w:drawingGridHorizontalSpacing w:val="181"/>
  <w:drawingGridVerticalSpacing w:val="181"/>
  <w:characterSpacingControl w:val="compressPunctuation"/>
  <w:footnotePr>
    <w:footnote w:id="0"/>
    <w:footnote w:id="1"/>
  </w:footnotePr>
  <w:endnotePr>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13D5"/>
    <w:rsid w:val="0000140C"/>
    <w:rsid w:val="00001ED2"/>
    <w:rsid w:val="0001586A"/>
    <w:rsid w:val="00015A24"/>
    <w:rsid w:val="00016987"/>
    <w:rsid w:val="00021163"/>
    <w:rsid w:val="0002618E"/>
    <w:rsid w:val="00036E9E"/>
    <w:rsid w:val="000370BE"/>
    <w:rsid w:val="00044568"/>
    <w:rsid w:val="00045EE1"/>
    <w:rsid w:val="00064BA2"/>
    <w:rsid w:val="00074306"/>
    <w:rsid w:val="00074D11"/>
    <w:rsid w:val="00090BE3"/>
    <w:rsid w:val="000911CA"/>
    <w:rsid w:val="00092667"/>
    <w:rsid w:val="000A0CCD"/>
    <w:rsid w:val="000A482D"/>
    <w:rsid w:val="000B230B"/>
    <w:rsid w:val="000B5555"/>
    <w:rsid w:val="000B56A1"/>
    <w:rsid w:val="000C1F7D"/>
    <w:rsid w:val="000C2C62"/>
    <w:rsid w:val="000C631E"/>
    <w:rsid w:val="000E0610"/>
    <w:rsid w:val="000E211D"/>
    <w:rsid w:val="000F30C5"/>
    <w:rsid w:val="00106D7C"/>
    <w:rsid w:val="00110340"/>
    <w:rsid w:val="00114965"/>
    <w:rsid w:val="00117306"/>
    <w:rsid w:val="0012028B"/>
    <w:rsid w:val="00120F2F"/>
    <w:rsid w:val="0012565C"/>
    <w:rsid w:val="00127158"/>
    <w:rsid w:val="00127F56"/>
    <w:rsid w:val="00130008"/>
    <w:rsid w:val="00137CA0"/>
    <w:rsid w:val="00140A04"/>
    <w:rsid w:val="00140AFA"/>
    <w:rsid w:val="001465FF"/>
    <w:rsid w:val="00146E78"/>
    <w:rsid w:val="00150356"/>
    <w:rsid w:val="00156624"/>
    <w:rsid w:val="001567B6"/>
    <w:rsid w:val="00160D5D"/>
    <w:rsid w:val="0016289E"/>
    <w:rsid w:val="00166578"/>
    <w:rsid w:val="001704ED"/>
    <w:rsid w:val="00171B7E"/>
    <w:rsid w:val="00174B89"/>
    <w:rsid w:val="00180793"/>
    <w:rsid w:val="001871F7"/>
    <w:rsid w:val="00191B5B"/>
    <w:rsid w:val="00193675"/>
    <w:rsid w:val="0019408C"/>
    <w:rsid w:val="001A34CB"/>
    <w:rsid w:val="001A42BA"/>
    <w:rsid w:val="001A4384"/>
    <w:rsid w:val="001A5F98"/>
    <w:rsid w:val="001B2AD1"/>
    <w:rsid w:val="001C26DC"/>
    <w:rsid w:val="001C2FA2"/>
    <w:rsid w:val="001C7160"/>
    <w:rsid w:val="001D224B"/>
    <w:rsid w:val="001D2D41"/>
    <w:rsid w:val="001D35A1"/>
    <w:rsid w:val="001E2551"/>
    <w:rsid w:val="001F0DD0"/>
    <w:rsid w:val="001F10A1"/>
    <w:rsid w:val="001F2396"/>
    <w:rsid w:val="001F3B36"/>
    <w:rsid w:val="00200F4F"/>
    <w:rsid w:val="0020228F"/>
    <w:rsid w:val="002106DA"/>
    <w:rsid w:val="00216300"/>
    <w:rsid w:val="002166C4"/>
    <w:rsid w:val="00217FDA"/>
    <w:rsid w:val="0022204B"/>
    <w:rsid w:val="00234253"/>
    <w:rsid w:val="00237D51"/>
    <w:rsid w:val="00245A28"/>
    <w:rsid w:val="00245CEE"/>
    <w:rsid w:val="002502F2"/>
    <w:rsid w:val="0025613C"/>
    <w:rsid w:val="00257D62"/>
    <w:rsid w:val="00261BCE"/>
    <w:rsid w:val="00262D6E"/>
    <w:rsid w:val="00266B43"/>
    <w:rsid w:val="0027445A"/>
    <w:rsid w:val="00277B80"/>
    <w:rsid w:val="002820EF"/>
    <w:rsid w:val="00282158"/>
    <w:rsid w:val="002910D2"/>
    <w:rsid w:val="002A2687"/>
    <w:rsid w:val="002C3E0B"/>
    <w:rsid w:val="002C4761"/>
    <w:rsid w:val="002E4352"/>
    <w:rsid w:val="002F04E4"/>
    <w:rsid w:val="002F4940"/>
    <w:rsid w:val="002F7F41"/>
    <w:rsid w:val="0030674A"/>
    <w:rsid w:val="00310194"/>
    <w:rsid w:val="00311782"/>
    <w:rsid w:val="003202EB"/>
    <w:rsid w:val="00321154"/>
    <w:rsid w:val="00326C9D"/>
    <w:rsid w:val="00334A28"/>
    <w:rsid w:val="00334C4F"/>
    <w:rsid w:val="00340DDD"/>
    <w:rsid w:val="00343E61"/>
    <w:rsid w:val="00350506"/>
    <w:rsid w:val="0035613D"/>
    <w:rsid w:val="00360B5C"/>
    <w:rsid w:val="00363096"/>
    <w:rsid w:val="003660D8"/>
    <w:rsid w:val="00367F35"/>
    <w:rsid w:val="00370341"/>
    <w:rsid w:val="00376240"/>
    <w:rsid w:val="003910AC"/>
    <w:rsid w:val="00392538"/>
    <w:rsid w:val="003940DD"/>
    <w:rsid w:val="00394971"/>
    <w:rsid w:val="00397EA4"/>
    <w:rsid w:val="003A19F3"/>
    <w:rsid w:val="003B12CD"/>
    <w:rsid w:val="003D4648"/>
    <w:rsid w:val="003E4053"/>
    <w:rsid w:val="003F136E"/>
    <w:rsid w:val="004027B4"/>
    <w:rsid w:val="00403C33"/>
    <w:rsid w:val="00410159"/>
    <w:rsid w:val="00417050"/>
    <w:rsid w:val="00431FFB"/>
    <w:rsid w:val="004321A8"/>
    <w:rsid w:val="00441DE2"/>
    <w:rsid w:val="0044780A"/>
    <w:rsid w:val="00447D12"/>
    <w:rsid w:val="004522BD"/>
    <w:rsid w:val="004548F4"/>
    <w:rsid w:val="00460B57"/>
    <w:rsid w:val="00470DBA"/>
    <w:rsid w:val="00473031"/>
    <w:rsid w:val="00487F8C"/>
    <w:rsid w:val="0049094E"/>
    <w:rsid w:val="00491BFE"/>
    <w:rsid w:val="00491D29"/>
    <w:rsid w:val="004947CD"/>
    <w:rsid w:val="004B21FA"/>
    <w:rsid w:val="004B2CD7"/>
    <w:rsid w:val="004B3004"/>
    <w:rsid w:val="004C42AA"/>
    <w:rsid w:val="004C4D9C"/>
    <w:rsid w:val="004D3488"/>
    <w:rsid w:val="004D68B4"/>
    <w:rsid w:val="004F3DFC"/>
    <w:rsid w:val="0050128D"/>
    <w:rsid w:val="0050611F"/>
    <w:rsid w:val="0051007D"/>
    <w:rsid w:val="00510F9E"/>
    <w:rsid w:val="00524211"/>
    <w:rsid w:val="005338DD"/>
    <w:rsid w:val="00535F93"/>
    <w:rsid w:val="005454EF"/>
    <w:rsid w:val="0055254E"/>
    <w:rsid w:val="005536A1"/>
    <w:rsid w:val="00564371"/>
    <w:rsid w:val="0056785F"/>
    <w:rsid w:val="00572F9E"/>
    <w:rsid w:val="005821C1"/>
    <w:rsid w:val="00584DD0"/>
    <w:rsid w:val="00591C2E"/>
    <w:rsid w:val="00592189"/>
    <w:rsid w:val="00594D48"/>
    <w:rsid w:val="005A0D3C"/>
    <w:rsid w:val="005A25B8"/>
    <w:rsid w:val="005A419E"/>
    <w:rsid w:val="005B6583"/>
    <w:rsid w:val="005B6B53"/>
    <w:rsid w:val="005B7E2B"/>
    <w:rsid w:val="005C5557"/>
    <w:rsid w:val="005C7820"/>
    <w:rsid w:val="005E4AB8"/>
    <w:rsid w:val="005E597B"/>
    <w:rsid w:val="005F10F1"/>
    <w:rsid w:val="00601277"/>
    <w:rsid w:val="0060675C"/>
    <w:rsid w:val="00612DFB"/>
    <w:rsid w:val="0062113C"/>
    <w:rsid w:val="00633645"/>
    <w:rsid w:val="0064199C"/>
    <w:rsid w:val="00643A2C"/>
    <w:rsid w:val="00651B16"/>
    <w:rsid w:val="0067192D"/>
    <w:rsid w:val="006749EB"/>
    <w:rsid w:val="006751C2"/>
    <w:rsid w:val="006818F5"/>
    <w:rsid w:val="00681C1C"/>
    <w:rsid w:val="006912CB"/>
    <w:rsid w:val="00695CEB"/>
    <w:rsid w:val="006970C7"/>
    <w:rsid w:val="006A6181"/>
    <w:rsid w:val="006B5CA3"/>
    <w:rsid w:val="006B5DCF"/>
    <w:rsid w:val="006B7C66"/>
    <w:rsid w:val="006C0CFD"/>
    <w:rsid w:val="006C2EC4"/>
    <w:rsid w:val="006D1A3C"/>
    <w:rsid w:val="006D6FFB"/>
    <w:rsid w:val="00713303"/>
    <w:rsid w:val="00721BE6"/>
    <w:rsid w:val="00722825"/>
    <w:rsid w:val="00724036"/>
    <w:rsid w:val="00726AF4"/>
    <w:rsid w:val="00730E0A"/>
    <w:rsid w:val="007339D9"/>
    <w:rsid w:val="00735A2D"/>
    <w:rsid w:val="00737FC8"/>
    <w:rsid w:val="00741F19"/>
    <w:rsid w:val="00750060"/>
    <w:rsid w:val="00755483"/>
    <w:rsid w:val="007606AB"/>
    <w:rsid w:val="007608D3"/>
    <w:rsid w:val="007630A4"/>
    <w:rsid w:val="0076615E"/>
    <w:rsid w:val="007670FF"/>
    <w:rsid w:val="007678EE"/>
    <w:rsid w:val="007701DE"/>
    <w:rsid w:val="007713D5"/>
    <w:rsid w:val="00773217"/>
    <w:rsid w:val="00783930"/>
    <w:rsid w:val="007848FD"/>
    <w:rsid w:val="007A0309"/>
    <w:rsid w:val="007A562B"/>
    <w:rsid w:val="007A5C33"/>
    <w:rsid w:val="007A5EA3"/>
    <w:rsid w:val="007B0C0A"/>
    <w:rsid w:val="007C5F91"/>
    <w:rsid w:val="007D3890"/>
    <w:rsid w:val="007D7980"/>
    <w:rsid w:val="007E045A"/>
    <w:rsid w:val="007E1ECE"/>
    <w:rsid w:val="007F1C77"/>
    <w:rsid w:val="00807CBA"/>
    <w:rsid w:val="00813D7C"/>
    <w:rsid w:val="0081427F"/>
    <w:rsid w:val="00817D8F"/>
    <w:rsid w:val="008214CE"/>
    <w:rsid w:val="00821FEE"/>
    <w:rsid w:val="00826958"/>
    <w:rsid w:val="0083064A"/>
    <w:rsid w:val="008309F2"/>
    <w:rsid w:val="008314CD"/>
    <w:rsid w:val="00834308"/>
    <w:rsid w:val="00840182"/>
    <w:rsid w:val="00846F93"/>
    <w:rsid w:val="008617EB"/>
    <w:rsid w:val="008706BB"/>
    <w:rsid w:val="00871BA8"/>
    <w:rsid w:val="00871EF3"/>
    <w:rsid w:val="008723B4"/>
    <w:rsid w:val="00876D5A"/>
    <w:rsid w:val="00895A54"/>
    <w:rsid w:val="00896FD4"/>
    <w:rsid w:val="008A1451"/>
    <w:rsid w:val="008A48E3"/>
    <w:rsid w:val="008C125B"/>
    <w:rsid w:val="008C6ECB"/>
    <w:rsid w:val="008C7C5C"/>
    <w:rsid w:val="008D5C25"/>
    <w:rsid w:val="008E729B"/>
    <w:rsid w:val="008F092E"/>
    <w:rsid w:val="00923706"/>
    <w:rsid w:val="00930642"/>
    <w:rsid w:val="00932D89"/>
    <w:rsid w:val="00932D91"/>
    <w:rsid w:val="00933ECB"/>
    <w:rsid w:val="00937EB1"/>
    <w:rsid w:val="00940F2E"/>
    <w:rsid w:val="009473A7"/>
    <w:rsid w:val="0095341D"/>
    <w:rsid w:val="00955AB1"/>
    <w:rsid w:val="009569C5"/>
    <w:rsid w:val="00970EF9"/>
    <w:rsid w:val="00976947"/>
    <w:rsid w:val="00977335"/>
    <w:rsid w:val="00981134"/>
    <w:rsid w:val="009961F4"/>
    <w:rsid w:val="009B2F70"/>
    <w:rsid w:val="009B305D"/>
    <w:rsid w:val="009B603B"/>
    <w:rsid w:val="009B6245"/>
    <w:rsid w:val="009B720D"/>
    <w:rsid w:val="009C2DD7"/>
    <w:rsid w:val="009C4E07"/>
    <w:rsid w:val="009C7CDD"/>
    <w:rsid w:val="009D657F"/>
    <w:rsid w:val="009D7930"/>
    <w:rsid w:val="009E1940"/>
    <w:rsid w:val="009E4573"/>
    <w:rsid w:val="009E53D7"/>
    <w:rsid w:val="009E5CB9"/>
    <w:rsid w:val="009E5DAC"/>
    <w:rsid w:val="009F47F6"/>
    <w:rsid w:val="009F5535"/>
    <w:rsid w:val="00A009D2"/>
    <w:rsid w:val="00A010B7"/>
    <w:rsid w:val="00A04951"/>
    <w:rsid w:val="00A10222"/>
    <w:rsid w:val="00A11376"/>
    <w:rsid w:val="00A11A20"/>
    <w:rsid w:val="00A15278"/>
    <w:rsid w:val="00A265C3"/>
    <w:rsid w:val="00A3308C"/>
    <w:rsid w:val="00A35344"/>
    <w:rsid w:val="00A355A4"/>
    <w:rsid w:val="00A36D36"/>
    <w:rsid w:val="00A41242"/>
    <w:rsid w:val="00A46720"/>
    <w:rsid w:val="00A4782D"/>
    <w:rsid w:val="00A52BEB"/>
    <w:rsid w:val="00A533A8"/>
    <w:rsid w:val="00A55C4B"/>
    <w:rsid w:val="00A62344"/>
    <w:rsid w:val="00A70253"/>
    <w:rsid w:val="00A74A10"/>
    <w:rsid w:val="00A762F5"/>
    <w:rsid w:val="00A766D8"/>
    <w:rsid w:val="00A8410F"/>
    <w:rsid w:val="00A9129F"/>
    <w:rsid w:val="00A92DCB"/>
    <w:rsid w:val="00A96543"/>
    <w:rsid w:val="00A97FFD"/>
    <w:rsid w:val="00AA10B4"/>
    <w:rsid w:val="00AA3141"/>
    <w:rsid w:val="00AA7D99"/>
    <w:rsid w:val="00AB1F4E"/>
    <w:rsid w:val="00AB3699"/>
    <w:rsid w:val="00AB3B0E"/>
    <w:rsid w:val="00AB6964"/>
    <w:rsid w:val="00AB743B"/>
    <w:rsid w:val="00AC00BF"/>
    <w:rsid w:val="00AD1710"/>
    <w:rsid w:val="00AD1BB0"/>
    <w:rsid w:val="00AD2C3D"/>
    <w:rsid w:val="00AD500E"/>
    <w:rsid w:val="00AD52C9"/>
    <w:rsid w:val="00AD583B"/>
    <w:rsid w:val="00AD7697"/>
    <w:rsid w:val="00AE368C"/>
    <w:rsid w:val="00AE7648"/>
    <w:rsid w:val="00AF130C"/>
    <w:rsid w:val="00AF58D9"/>
    <w:rsid w:val="00AF5E31"/>
    <w:rsid w:val="00B00C89"/>
    <w:rsid w:val="00B109D4"/>
    <w:rsid w:val="00B16496"/>
    <w:rsid w:val="00B22DD6"/>
    <w:rsid w:val="00B2307E"/>
    <w:rsid w:val="00B2684C"/>
    <w:rsid w:val="00B31C7E"/>
    <w:rsid w:val="00B3239A"/>
    <w:rsid w:val="00B3605A"/>
    <w:rsid w:val="00B366C3"/>
    <w:rsid w:val="00B41DBB"/>
    <w:rsid w:val="00B423E5"/>
    <w:rsid w:val="00B511BF"/>
    <w:rsid w:val="00B56437"/>
    <w:rsid w:val="00B65C89"/>
    <w:rsid w:val="00B65F06"/>
    <w:rsid w:val="00B739AD"/>
    <w:rsid w:val="00B74D08"/>
    <w:rsid w:val="00B74EA7"/>
    <w:rsid w:val="00B77C86"/>
    <w:rsid w:val="00B814C7"/>
    <w:rsid w:val="00B854D9"/>
    <w:rsid w:val="00B85B98"/>
    <w:rsid w:val="00B9419D"/>
    <w:rsid w:val="00BA1F2D"/>
    <w:rsid w:val="00BA52D0"/>
    <w:rsid w:val="00BB679E"/>
    <w:rsid w:val="00BC55D0"/>
    <w:rsid w:val="00BC638F"/>
    <w:rsid w:val="00BD00EB"/>
    <w:rsid w:val="00BD0736"/>
    <w:rsid w:val="00BD23A1"/>
    <w:rsid w:val="00BE1920"/>
    <w:rsid w:val="00BE6763"/>
    <w:rsid w:val="00BF5D2C"/>
    <w:rsid w:val="00BF6EE4"/>
    <w:rsid w:val="00BF750D"/>
    <w:rsid w:val="00C00EFD"/>
    <w:rsid w:val="00C039D7"/>
    <w:rsid w:val="00C04347"/>
    <w:rsid w:val="00C3258B"/>
    <w:rsid w:val="00C330BC"/>
    <w:rsid w:val="00C4483E"/>
    <w:rsid w:val="00C459C3"/>
    <w:rsid w:val="00C51840"/>
    <w:rsid w:val="00C55494"/>
    <w:rsid w:val="00C567E9"/>
    <w:rsid w:val="00C61062"/>
    <w:rsid w:val="00C61515"/>
    <w:rsid w:val="00C72D8F"/>
    <w:rsid w:val="00C74E32"/>
    <w:rsid w:val="00C76613"/>
    <w:rsid w:val="00C77FEA"/>
    <w:rsid w:val="00C815B3"/>
    <w:rsid w:val="00C826E7"/>
    <w:rsid w:val="00C9743F"/>
    <w:rsid w:val="00CA0316"/>
    <w:rsid w:val="00CA2C86"/>
    <w:rsid w:val="00CA42A2"/>
    <w:rsid w:val="00CA6098"/>
    <w:rsid w:val="00CB3EE6"/>
    <w:rsid w:val="00CB73D0"/>
    <w:rsid w:val="00CC2F46"/>
    <w:rsid w:val="00CD5A1A"/>
    <w:rsid w:val="00CE40B1"/>
    <w:rsid w:val="00CF042C"/>
    <w:rsid w:val="00CF2414"/>
    <w:rsid w:val="00CF2A64"/>
    <w:rsid w:val="00CF49A9"/>
    <w:rsid w:val="00CF7120"/>
    <w:rsid w:val="00D010FA"/>
    <w:rsid w:val="00D073A5"/>
    <w:rsid w:val="00D07AF8"/>
    <w:rsid w:val="00D1745D"/>
    <w:rsid w:val="00D177D8"/>
    <w:rsid w:val="00D26B77"/>
    <w:rsid w:val="00D33AC5"/>
    <w:rsid w:val="00D46433"/>
    <w:rsid w:val="00D47794"/>
    <w:rsid w:val="00D52B2C"/>
    <w:rsid w:val="00D61C39"/>
    <w:rsid w:val="00D905A4"/>
    <w:rsid w:val="00D91387"/>
    <w:rsid w:val="00DA116D"/>
    <w:rsid w:val="00DA39E3"/>
    <w:rsid w:val="00DA6ECA"/>
    <w:rsid w:val="00DB4EED"/>
    <w:rsid w:val="00DB5840"/>
    <w:rsid w:val="00DB599D"/>
    <w:rsid w:val="00DC26E5"/>
    <w:rsid w:val="00DC73F2"/>
    <w:rsid w:val="00DE02AF"/>
    <w:rsid w:val="00DE07E3"/>
    <w:rsid w:val="00DE5DCA"/>
    <w:rsid w:val="00DF1A8D"/>
    <w:rsid w:val="00DF5354"/>
    <w:rsid w:val="00E00FA2"/>
    <w:rsid w:val="00E01D44"/>
    <w:rsid w:val="00E0320D"/>
    <w:rsid w:val="00E05ED3"/>
    <w:rsid w:val="00E14622"/>
    <w:rsid w:val="00E21668"/>
    <w:rsid w:val="00E23628"/>
    <w:rsid w:val="00E23737"/>
    <w:rsid w:val="00E40F55"/>
    <w:rsid w:val="00E45BF9"/>
    <w:rsid w:val="00E530BE"/>
    <w:rsid w:val="00E54A7F"/>
    <w:rsid w:val="00E55D19"/>
    <w:rsid w:val="00E5638F"/>
    <w:rsid w:val="00E56989"/>
    <w:rsid w:val="00E60F16"/>
    <w:rsid w:val="00E63570"/>
    <w:rsid w:val="00E67D2B"/>
    <w:rsid w:val="00E838FE"/>
    <w:rsid w:val="00E8527D"/>
    <w:rsid w:val="00E8537C"/>
    <w:rsid w:val="00E9428F"/>
    <w:rsid w:val="00EA18CB"/>
    <w:rsid w:val="00EA2E9B"/>
    <w:rsid w:val="00EA3359"/>
    <w:rsid w:val="00EA3593"/>
    <w:rsid w:val="00EA770A"/>
    <w:rsid w:val="00EC6FC7"/>
    <w:rsid w:val="00ED06A3"/>
    <w:rsid w:val="00ED4AFD"/>
    <w:rsid w:val="00EE24E1"/>
    <w:rsid w:val="00EE37BD"/>
    <w:rsid w:val="00EE6A45"/>
    <w:rsid w:val="00EF3280"/>
    <w:rsid w:val="00EF3F5F"/>
    <w:rsid w:val="00EF5CA8"/>
    <w:rsid w:val="00EF607A"/>
    <w:rsid w:val="00F05285"/>
    <w:rsid w:val="00F126F6"/>
    <w:rsid w:val="00F169BF"/>
    <w:rsid w:val="00F25000"/>
    <w:rsid w:val="00F2642C"/>
    <w:rsid w:val="00F27073"/>
    <w:rsid w:val="00F27271"/>
    <w:rsid w:val="00F374F3"/>
    <w:rsid w:val="00F43EAA"/>
    <w:rsid w:val="00F4707D"/>
    <w:rsid w:val="00F47C0C"/>
    <w:rsid w:val="00F47DEF"/>
    <w:rsid w:val="00F54D7A"/>
    <w:rsid w:val="00F54E2E"/>
    <w:rsid w:val="00F5561B"/>
    <w:rsid w:val="00F6249F"/>
    <w:rsid w:val="00F64AF2"/>
    <w:rsid w:val="00F65805"/>
    <w:rsid w:val="00F75433"/>
    <w:rsid w:val="00F80DBD"/>
    <w:rsid w:val="00F8162C"/>
    <w:rsid w:val="00F85CB6"/>
    <w:rsid w:val="00F945B3"/>
    <w:rsid w:val="00FA2650"/>
    <w:rsid w:val="00FA6501"/>
    <w:rsid w:val="00FB048B"/>
    <w:rsid w:val="00FB16B7"/>
    <w:rsid w:val="00FC3EDF"/>
    <w:rsid w:val="00FC793F"/>
    <w:rsid w:val="00FD1A72"/>
    <w:rsid w:val="00FD3B5D"/>
    <w:rsid w:val="00FD4370"/>
    <w:rsid w:val="00FD7D06"/>
    <w:rsid w:val="00FF05E2"/>
    <w:rsid w:val="00FF6B05"/>
    <w:rsid w:val="01A551DF"/>
    <w:rsid w:val="03147C18"/>
    <w:rsid w:val="099C0A4D"/>
    <w:rsid w:val="0DEA1DAD"/>
    <w:rsid w:val="0FBB6AE6"/>
    <w:rsid w:val="119056AA"/>
    <w:rsid w:val="1CDE1716"/>
    <w:rsid w:val="26F06728"/>
    <w:rsid w:val="294D64B0"/>
    <w:rsid w:val="29907561"/>
    <w:rsid w:val="47F15C61"/>
    <w:rsid w:val="4D6A3ED5"/>
    <w:rsid w:val="55BB2819"/>
    <w:rsid w:val="5CA2226E"/>
    <w:rsid w:val="5CC6529A"/>
    <w:rsid w:val="64665A47"/>
    <w:rsid w:val="69D361E5"/>
    <w:rsid w:val="6C2C5471"/>
    <w:rsid w:val="6F406874"/>
    <w:rsid w:val="79750738"/>
    <w:rsid w:val="7B1405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Times New Roman" w:hAnsi="Times New Roman" w:eastAsia="Times New Roman" w:cs="Times New Roman"/>
      <w:color w:val="000000"/>
      <w:sz w:val="24"/>
      <w:szCs w:val="24"/>
      <w:lang w:val="zh-CN" w:eastAsia="zh-CN" w:bidi="zh-CN"/>
    </w:rPr>
  </w:style>
  <w:style w:type="paragraph" w:styleId="2">
    <w:name w:val="heading 1"/>
    <w:basedOn w:val="1"/>
    <w:next w:val="1"/>
    <w:link w:val="93"/>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96"/>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95"/>
    <w:semiHidden/>
    <w:unhideWhenUsed/>
    <w:qFormat/>
    <w:uiPriority w:val="9"/>
    <w:pPr>
      <w:keepNext/>
      <w:keepLines/>
      <w:spacing w:before="260" w:after="260" w:line="416" w:lineRule="auto"/>
      <w:outlineLvl w:val="2"/>
    </w:pPr>
    <w:rPr>
      <w:b/>
      <w:bCs/>
      <w:sz w:val="32"/>
      <w:szCs w:val="32"/>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76"/>
    <w:unhideWhenUsed/>
    <w:qFormat/>
    <w:uiPriority w:val="99"/>
  </w:style>
  <w:style w:type="paragraph" w:styleId="6">
    <w:name w:val="toc 3"/>
    <w:basedOn w:val="1"/>
    <w:next w:val="1"/>
    <w:autoRedefine/>
    <w:unhideWhenUsed/>
    <w:qFormat/>
    <w:uiPriority w:val="39"/>
    <w:pPr>
      <w:widowControl/>
      <w:spacing w:after="100" w:line="259" w:lineRule="auto"/>
      <w:ind w:left="440"/>
    </w:pPr>
    <w:rPr>
      <w:rFonts w:asciiTheme="minorHAnsi" w:hAnsiTheme="minorHAnsi" w:eastAsiaTheme="minorEastAsia"/>
      <w:color w:val="auto"/>
      <w:sz w:val="22"/>
      <w:szCs w:val="22"/>
      <w:lang w:val="en-US" w:bidi="ar-SA"/>
    </w:rPr>
  </w:style>
  <w:style w:type="paragraph" w:styleId="7">
    <w:name w:val="footer"/>
    <w:basedOn w:val="1"/>
    <w:link w:val="79"/>
    <w:unhideWhenUsed/>
    <w:qFormat/>
    <w:uiPriority w:val="99"/>
    <w:pPr>
      <w:tabs>
        <w:tab w:val="center" w:pos="4153"/>
        <w:tab w:val="right" w:pos="8306"/>
      </w:tabs>
      <w:snapToGrid w:val="0"/>
    </w:pPr>
    <w:rPr>
      <w:sz w:val="18"/>
      <w:szCs w:val="18"/>
    </w:rPr>
  </w:style>
  <w:style w:type="paragraph" w:styleId="8">
    <w:name w:val="header"/>
    <w:basedOn w:val="1"/>
    <w:link w:val="80"/>
    <w:unhideWhenUsed/>
    <w:qFormat/>
    <w:uiPriority w:val="99"/>
    <w:pPr>
      <w:tabs>
        <w:tab w:val="center" w:pos="4153"/>
        <w:tab w:val="right" w:pos="8306"/>
      </w:tabs>
      <w:snapToGrid w:val="0"/>
      <w:jc w:val="center"/>
    </w:pPr>
    <w:rPr>
      <w:sz w:val="18"/>
      <w:szCs w:val="18"/>
    </w:rPr>
  </w:style>
  <w:style w:type="paragraph" w:styleId="9">
    <w:name w:val="toc 1"/>
    <w:basedOn w:val="1"/>
    <w:next w:val="1"/>
    <w:unhideWhenUsed/>
    <w:qFormat/>
    <w:uiPriority w:val="39"/>
    <w:pPr>
      <w:adjustRightInd w:val="0"/>
      <w:spacing w:line="400" w:lineRule="exact"/>
      <w:jc w:val="both"/>
    </w:pPr>
    <w:rPr>
      <w:rFonts w:ascii="宋体" w:hAnsi="Calibri" w:eastAsia="宋体"/>
      <w:color w:val="auto"/>
      <w:kern w:val="2"/>
      <w:sz w:val="21"/>
      <w:szCs w:val="21"/>
      <w:lang w:val="en-US" w:bidi="ar-SA"/>
    </w:rPr>
  </w:style>
  <w:style w:type="paragraph" w:styleId="10">
    <w:name w:val="toc 2"/>
    <w:basedOn w:val="1"/>
    <w:next w:val="1"/>
    <w:unhideWhenUsed/>
    <w:qFormat/>
    <w:uiPriority w:val="39"/>
    <w:pPr>
      <w:tabs>
        <w:tab w:val="right" w:leader="dot" w:pos="9344"/>
      </w:tabs>
      <w:adjustRightInd w:val="0"/>
      <w:spacing w:line="300" w:lineRule="exact"/>
      <w:ind w:left="210"/>
      <w:jc w:val="both"/>
    </w:pPr>
    <w:rPr>
      <w:rFonts w:ascii="宋体" w:hAnsi="Calibri" w:eastAsia="宋体"/>
      <w:color w:val="auto"/>
      <w:kern w:val="2"/>
      <w:sz w:val="21"/>
      <w:szCs w:val="21"/>
      <w:lang w:val="en-US" w:bidi="ar-SA"/>
    </w:rPr>
  </w:style>
  <w:style w:type="paragraph" w:styleId="11">
    <w:name w:val="Normal (Web)"/>
    <w:basedOn w:val="1"/>
    <w:semiHidden/>
    <w:unhideWhenUsed/>
    <w:qFormat/>
    <w:uiPriority w:val="99"/>
  </w:style>
  <w:style w:type="paragraph" w:styleId="12">
    <w:name w:val="annotation subject"/>
    <w:basedOn w:val="5"/>
    <w:next w:val="5"/>
    <w:link w:val="77"/>
    <w:semiHidden/>
    <w:unhideWhenUsed/>
    <w:qFormat/>
    <w:uiPriority w:val="99"/>
    <w:rPr>
      <w:b/>
      <w:bCs/>
    </w:rPr>
  </w:style>
  <w:style w:type="table" w:styleId="14">
    <w:name w:val="Table Grid"/>
    <w:basedOn w:val="13"/>
    <w:qFormat/>
    <w:uiPriority w:val="39"/>
    <w:rPr>
      <w:rFonts w:ascii="Calibri" w:hAnsi="Calibri" w:eastAsia="宋体"/>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Hyperlink"/>
    <w:basedOn w:val="15"/>
    <w:unhideWhenUsed/>
    <w:qFormat/>
    <w:uiPriority w:val="99"/>
    <w:rPr>
      <w:color w:val="0563C1" w:themeColor="hyperlink"/>
      <w:u w:val="single"/>
      <w14:textFill>
        <w14:solidFill>
          <w14:schemeClr w14:val="hlink"/>
        </w14:solidFill>
      </w14:textFill>
    </w:rPr>
  </w:style>
  <w:style w:type="character" w:styleId="17">
    <w:name w:val="annotation reference"/>
    <w:basedOn w:val="15"/>
    <w:semiHidden/>
    <w:unhideWhenUsed/>
    <w:qFormat/>
    <w:uiPriority w:val="99"/>
    <w:rPr>
      <w:sz w:val="21"/>
      <w:szCs w:val="21"/>
    </w:rPr>
  </w:style>
  <w:style w:type="character" w:customStyle="1" w:styleId="18">
    <w:name w:val="MSG_EN_FONT_STYLE_NAME_TEMPLATE_ROLE_NUMBER MSG_EN_FONT_STYLE_NAME_BY_ROLE_TEXT 4 Exact"/>
    <w:basedOn w:val="15"/>
    <w:qFormat/>
    <w:uiPriority w:val="0"/>
    <w:rPr>
      <w:sz w:val="28"/>
      <w:szCs w:val="28"/>
      <w:u w:val="none"/>
      <w:lang w:val="en-US" w:eastAsia="en-US" w:bidi="en-US"/>
    </w:rPr>
  </w:style>
  <w:style w:type="character" w:customStyle="1" w:styleId="19">
    <w:name w:val="MSG_EN_FONT_STYLE_NAME_TEMPLATE_ROLE_NUMBER MSG_EN_FONT_STYLE_NAME_BY_ROLE_TEXT 4 + MSG_EN_FONT_STYLE_MODIFER_NAME PMingLiU"/>
    <w:basedOn w:val="20"/>
    <w:qFormat/>
    <w:uiPriority w:val="0"/>
    <w:rPr>
      <w:rFonts w:ascii="PMingLiU" w:hAnsi="PMingLiU" w:eastAsia="PMingLiU" w:cs="PMingLiU"/>
      <w:spacing w:val="40"/>
      <w:sz w:val="26"/>
      <w:szCs w:val="26"/>
      <w:u w:val="none"/>
      <w:lang w:val="zh-CN" w:eastAsia="zh-CN" w:bidi="zh-CN"/>
    </w:rPr>
  </w:style>
  <w:style w:type="character" w:customStyle="1" w:styleId="20">
    <w:name w:val="MSG_EN_FONT_STYLE_NAME_TEMPLATE_ROLE_NUMBER MSG_EN_FONT_STYLE_NAME_BY_ROLE_TEXT 4_"/>
    <w:basedOn w:val="15"/>
    <w:link w:val="21"/>
    <w:qFormat/>
    <w:uiPriority w:val="0"/>
    <w:rPr>
      <w:sz w:val="28"/>
      <w:szCs w:val="28"/>
      <w:u w:val="none"/>
      <w:lang w:val="en-US" w:eastAsia="en-US" w:bidi="en-US"/>
    </w:rPr>
  </w:style>
  <w:style w:type="paragraph" w:customStyle="1" w:styleId="21">
    <w:name w:val="MSG_EN_FONT_STYLE_NAME_TEMPLATE_ROLE_NUMBER MSG_EN_FONT_STYLE_NAME_BY_ROLE_TEXT 4"/>
    <w:basedOn w:val="1"/>
    <w:link w:val="20"/>
    <w:qFormat/>
    <w:uiPriority w:val="0"/>
    <w:pPr>
      <w:shd w:val="clear" w:color="auto" w:fill="FFFFFF"/>
      <w:spacing w:before="260" w:after="3240" w:line="310" w:lineRule="exact"/>
    </w:pPr>
    <w:rPr>
      <w:sz w:val="28"/>
      <w:szCs w:val="28"/>
      <w:lang w:val="en-US" w:eastAsia="en-US" w:bidi="en-US"/>
    </w:rPr>
  </w:style>
  <w:style w:type="character" w:customStyle="1" w:styleId="22">
    <w:name w:val="MSG_EN_FONT_STYLE_NAME_TEMPLATE_ROLE_NUMBER MSG_EN_FONT_STYLE_NAME_BY_ROLE_TEXT 3_"/>
    <w:basedOn w:val="15"/>
    <w:link w:val="23"/>
    <w:qFormat/>
    <w:uiPriority w:val="0"/>
    <w:rPr>
      <w:rFonts w:ascii="PMingLiU" w:hAnsi="PMingLiU" w:eastAsia="PMingLiU" w:cs="PMingLiU"/>
      <w:spacing w:val="50"/>
      <w:sz w:val="20"/>
      <w:szCs w:val="20"/>
      <w:u w:val="none"/>
    </w:rPr>
  </w:style>
  <w:style w:type="paragraph" w:customStyle="1" w:styleId="23">
    <w:name w:val="MSG_EN_FONT_STYLE_NAME_TEMPLATE_ROLE_NUMBER MSG_EN_FONT_STYLE_NAME_BY_ROLE_TEXT 3"/>
    <w:basedOn w:val="1"/>
    <w:link w:val="22"/>
    <w:qFormat/>
    <w:uiPriority w:val="0"/>
    <w:pPr>
      <w:shd w:val="clear" w:color="auto" w:fill="FFFFFF"/>
      <w:spacing w:after="1780" w:line="225" w:lineRule="exact"/>
    </w:pPr>
    <w:rPr>
      <w:rFonts w:ascii="PMingLiU" w:hAnsi="PMingLiU" w:eastAsia="PMingLiU" w:cs="PMingLiU"/>
      <w:spacing w:val="50"/>
      <w:sz w:val="20"/>
      <w:szCs w:val="20"/>
    </w:rPr>
  </w:style>
  <w:style w:type="character" w:customStyle="1" w:styleId="24">
    <w:name w:val="MSG_EN_FONT_STYLE_NAME_TEMPLATE_ROLE_NUMBER MSG_EN_FONT_STYLE_NAME_BY_ROLE_TEXT 3 + MSG_EN_FONT_STYLE_MODIFER_NAME Times New Roman"/>
    <w:basedOn w:val="22"/>
    <w:qFormat/>
    <w:uiPriority w:val="0"/>
    <w:rPr>
      <w:rFonts w:ascii="Times New Roman" w:hAnsi="Times New Roman" w:eastAsia="Times New Roman" w:cs="Times New Roman"/>
      <w:b/>
      <w:bCs/>
      <w:color w:val="000000"/>
      <w:spacing w:val="0"/>
      <w:w w:val="100"/>
      <w:position w:val="0"/>
      <w:sz w:val="21"/>
      <w:szCs w:val="21"/>
      <w:u w:val="none"/>
      <w:lang w:val="en-US" w:eastAsia="en-US" w:bidi="en-US"/>
    </w:rPr>
  </w:style>
  <w:style w:type="character" w:customStyle="1" w:styleId="25">
    <w:name w:val="MSG_EN_FONT_STYLE_NAME_TEMPLATE_ROLE_NUMBER MSG_EN_FONT_STYLE_NAME_BY_ROLE_TEXT 3 + MSG_EN_FONT_STYLE_MODIFER_SPACING 1"/>
    <w:basedOn w:val="22"/>
    <w:qFormat/>
    <w:uiPriority w:val="0"/>
    <w:rPr>
      <w:rFonts w:ascii="PMingLiU" w:hAnsi="PMingLiU" w:eastAsia="PMingLiU" w:cs="PMingLiU"/>
      <w:color w:val="000000"/>
      <w:spacing w:val="20"/>
      <w:w w:val="100"/>
      <w:position w:val="0"/>
      <w:sz w:val="20"/>
      <w:szCs w:val="20"/>
      <w:u w:val="none"/>
      <w:lang w:val="en-US" w:eastAsia="en-US" w:bidi="en-US"/>
    </w:rPr>
  </w:style>
  <w:style w:type="character" w:customStyle="1" w:styleId="26">
    <w:name w:val="MSG_EN_FONT_STYLE_NAME_TEMPLATE_ROLE_LEVEL MSG_EN_FONT_STYLE_NAME_BY_ROLE_HEADING 1_"/>
    <w:basedOn w:val="15"/>
    <w:link w:val="27"/>
    <w:qFormat/>
    <w:uiPriority w:val="0"/>
    <w:rPr>
      <w:rFonts w:ascii="PMingLiU" w:hAnsi="PMingLiU" w:eastAsia="PMingLiU" w:cs="PMingLiU"/>
      <w:spacing w:val="50"/>
      <w:sz w:val="58"/>
      <w:szCs w:val="58"/>
      <w:u w:val="none"/>
    </w:rPr>
  </w:style>
  <w:style w:type="paragraph" w:customStyle="1" w:styleId="27">
    <w:name w:val="MSG_EN_FONT_STYLE_NAME_TEMPLATE_ROLE_LEVEL MSG_EN_FONT_STYLE_NAME_BY_ROLE_HEADING 1"/>
    <w:basedOn w:val="1"/>
    <w:link w:val="26"/>
    <w:qFormat/>
    <w:uiPriority w:val="0"/>
    <w:pPr>
      <w:shd w:val="clear" w:color="auto" w:fill="FFFFFF"/>
      <w:spacing w:before="1780" w:after="260" w:line="580" w:lineRule="exact"/>
      <w:outlineLvl w:val="0"/>
    </w:pPr>
    <w:rPr>
      <w:rFonts w:ascii="PMingLiU" w:hAnsi="PMingLiU" w:eastAsia="PMingLiU" w:cs="PMingLiU"/>
      <w:spacing w:val="50"/>
      <w:sz w:val="58"/>
      <w:szCs w:val="58"/>
    </w:rPr>
  </w:style>
  <w:style w:type="character" w:customStyle="1" w:styleId="28">
    <w:name w:val="MSG_EN_FONT_STYLE_NAME_TEMPLATE_ROLE_LEVEL MSG_EN_FONT_STYLE_NAME_BY_ROLE_HEADING 1 + MSG_EN_FONT_STYLE_MODIFER_SPACING 11"/>
    <w:basedOn w:val="26"/>
    <w:qFormat/>
    <w:uiPriority w:val="0"/>
    <w:rPr>
      <w:rFonts w:ascii="PMingLiU" w:hAnsi="PMingLiU" w:eastAsia="PMingLiU" w:cs="PMingLiU"/>
      <w:color w:val="000000"/>
      <w:spacing w:val="220"/>
      <w:w w:val="100"/>
      <w:position w:val="0"/>
      <w:sz w:val="58"/>
      <w:szCs w:val="58"/>
      <w:u w:val="none"/>
      <w:lang w:val="zh-CN" w:eastAsia="zh-CN" w:bidi="zh-CN"/>
    </w:rPr>
  </w:style>
  <w:style w:type="character" w:customStyle="1" w:styleId="29">
    <w:name w:val="MSG_EN_FONT_STYLE_NAME_TEMPLATE_ROLE_NUMBER MSG_EN_FONT_STYLE_NAME_BY_ROLE_TEXT 4 + MSG_EN_FONT_STYLE_MODIFER_NAME PMingLiU1"/>
    <w:basedOn w:val="20"/>
    <w:qFormat/>
    <w:uiPriority w:val="0"/>
    <w:rPr>
      <w:rFonts w:ascii="PMingLiU" w:hAnsi="PMingLiU" w:eastAsia="PMingLiU" w:cs="PMingLiU"/>
      <w:color w:val="000000"/>
      <w:spacing w:val="40"/>
      <w:w w:val="100"/>
      <w:position w:val="0"/>
      <w:sz w:val="26"/>
      <w:szCs w:val="26"/>
      <w:u w:val="none"/>
      <w:lang w:val="zh-CN" w:eastAsia="zh-CN" w:bidi="zh-CN"/>
    </w:rPr>
  </w:style>
  <w:style w:type="character" w:customStyle="1" w:styleId="30">
    <w:name w:val="MSG_EN_FONT_STYLE_NAME_TEMPLATE_ROLE_NUMBER MSG_EN_FONT_STYLE_NAME_BY_ROLE_TEXT 5_"/>
    <w:basedOn w:val="15"/>
    <w:link w:val="31"/>
    <w:qFormat/>
    <w:uiPriority w:val="0"/>
    <w:rPr>
      <w:rFonts w:ascii="PMingLiU" w:hAnsi="PMingLiU" w:eastAsia="PMingLiU" w:cs="PMingLiU"/>
      <w:spacing w:val="30"/>
      <w:sz w:val="30"/>
      <w:szCs w:val="30"/>
      <w:u w:val="none"/>
    </w:rPr>
  </w:style>
  <w:style w:type="paragraph" w:customStyle="1" w:styleId="31">
    <w:name w:val="MSG_EN_FONT_STYLE_NAME_TEMPLATE_ROLE_NUMBER MSG_EN_FONT_STYLE_NAME_BY_ROLE_TEXT 5"/>
    <w:basedOn w:val="1"/>
    <w:link w:val="30"/>
    <w:qFormat/>
    <w:uiPriority w:val="0"/>
    <w:pPr>
      <w:shd w:val="clear" w:color="auto" w:fill="FFFFFF"/>
      <w:spacing w:after="640" w:line="300" w:lineRule="exact"/>
      <w:jc w:val="center"/>
    </w:pPr>
    <w:rPr>
      <w:rFonts w:ascii="PMingLiU" w:hAnsi="PMingLiU" w:eastAsia="PMingLiU" w:cs="PMingLiU"/>
      <w:spacing w:val="30"/>
      <w:sz w:val="30"/>
      <w:szCs w:val="30"/>
    </w:rPr>
  </w:style>
  <w:style w:type="character" w:customStyle="1" w:styleId="32">
    <w:name w:val="MSG_EN_FONT_STYLE_NAME_TEMPLATE_ROLE_NUMBER MSG_EN_FONT_STYLE_NAME_BY_ROLE_TEXT 5 + MSG_EN_FONT_STYLE_MODIFER_SPACING 0"/>
    <w:basedOn w:val="30"/>
    <w:qFormat/>
    <w:uiPriority w:val="0"/>
    <w:rPr>
      <w:rFonts w:ascii="PMingLiU" w:hAnsi="PMingLiU" w:eastAsia="PMingLiU" w:cs="PMingLiU"/>
      <w:color w:val="000000"/>
      <w:spacing w:val="0"/>
      <w:w w:val="100"/>
      <w:position w:val="0"/>
      <w:sz w:val="30"/>
      <w:szCs w:val="30"/>
      <w:u w:val="none"/>
      <w:lang w:val="zh-CN" w:eastAsia="zh-CN" w:bidi="zh-CN"/>
    </w:rPr>
  </w:style>
  <w:style w:type="character" w:customStyle="1" w:styleId="33">
    <w:name w:val="MSG_EN_FONT_STYLE_NAME_TEMPLATE_ROLE MSG_EN_FONT_STYLE_NAME_BY_ROLE_RUNNING_TITLE_"/>
    <w:basedOn w:val="15"/>
    <w:link w:val="34"/>
    <w:qFormat/>
    <w:uiPriority w:val="0"/>
    <w:rPr>
      <w:sz w:val="22"/>
      <w:szCs w:val="22"/>
      <w:u w:val="none"/>
      <w:lang w:val="en-US" w:eastAsia="en-US" w:bidi="en-US"/>
    </w:rPr>
  </w:style>
  <w:style w:type="paragraph" w:customStyle="1" w:styleId="34">
    <w:name w:val="MSG_EN_FONT_STYLE_NAME_TEMPLATE_ROLE MSG_EN_FONT_STYLE_NAME_BY_ROLE_RUNNING_TITLE1"/>
    <w:basedOn w:val="1"/>
    <w:link w:val="33"/>
    <w:qFormat/>
    <w:uiPriority w:val="0"/>
    <w:pPr>
      <w:shd w:val="clear" w:color="auto" w:fill="FFFFFF"/>
      <w:spacing w:line="244" w:lineRule="exact"/>
    </w:pPr>
    <w:rPr>
      <w:sz w:val="22"/>
      <w:szCs w:val="22"/>
      <w:lang w:val="en-US" w:eastAsia="en-US" w:bidi="en-US"/>
    </w:rPr>
  </w:style>
  <w:style w:type="character" w:customStyle="1" w:styleId="35">
    <w:name w:val="MSG_EN_FONT_STYLE_NAME_TEMPLATE_ROLE MSG_EN_FONT_STYLE_NAME_BY_ROLE_RUNNING_TITLE"/>
    <w:basedOn w:val="33"/>
    <w:qFormat/>
    <w:uiPriority w:val="0"/>
    <w:rPr>
      <w:rFonts w:ascii="Times New Roman" w:hAnsi="Times New Roman" w:eastAsia="Times New Roman" w:cs="Times New Roman"/>
      <w:color w:val="000000"/>
      <w:spacing w:val="0"/>
      <w:w w:val="100"/>
      <w:position w:val="0"/>
      <w:sz w:val="22"/>
      <w:szCs w:val="22"/>
      <w:u w:val="none"/>
      <w:lang w:val="en-US" w:eastAsia="en-US" w:bidi="en-US"/>
    </w:rPr>
  </w:style>
  <w:style w:type="character" w:customStyle="1" w:styleId="36">
    <w:name w:val="MSG_EN_FONT_STYLE_NAME_TEMPLATE_ROLE_NUMBER MSG_EN_FONT_STYLE_NAME_BY_ROLE_TABLE_OF_CONTENTS 2_"/>
    <w:basedOn w:val="15"/>
    <w:link w:val="37"/>
    <w:qFormat/>
    <w:uiPriority w:val="0"/>
    <w:rPr>
      <w:b/>
      <w:bCs/>
      <w:sz w:val="22"/>
      <w:szCs w:val="22"/>
      <w:u w:val="none"/>
      <w:lang w:val="en-US" w:eastAsia="en-US" w:bidi="en-US"/>
    </w:rPr>
  </w:style>
  <w:style w:type="paragraph" w:customStyle="1" w:styleId="37">
    <w:name w:val="MSG_EN_FONT_STYLE_NAME_TEMPLATE_ROLE_NUMBER MSG_EN_FONT_STYLE_NAME_BY_ROLE_TABLE_OF_CONTENTS 2"/>
    <w:basedOn w:val="1"/>
    <w:link w:val="36"/>
    <w:qFormat/>
    <w:uiPriority w:val="0"/>
    <w:pPr>
      <w:shd w:val="clear" w:color="auto" w:fill="FFFFFF"/>
      <w:spacing w:before="640" w:line="310" w:lineRule="exact"/>
      <w:jc w:val="both"/>
    </w:pPr>
    <w:rPr>
      <w:b/>
      <w:bCs/>
      <w:sz w:val="22"/>
      <w:szCs w:val="22"/>
      <w:lang w:val="en-US" w:eastAsia="en-US" w:bidi="en-US"/>
    </w:rPr>
  </w:style>
  <w:style w:type="character" w:customStyle="1" w:styleId="38">
    <w:name w:val="MSG_EN_FONT_STYLE_NAME_TEMPLATE_ROLE_NUMBER MSG_EN_FONT_STYLE_NAME_BY_ROLE_TABLE_OF_CONTENTS 2 + MSG_EN_FONT_STYLE_MODIFER_SIZE 14"/>
    <w:basedOn w:val="36"/>
    <w:qFormat/>
    <w:uiPriority w:val="0"/>
    <w:rPr>
      <w:rFonts w:ascii="Times New Roman" w:hAnsi="Times New Roman" w:eastAsia="Times New Roman" w:cs="Times New Roman"/>
      <w:i/>
      <w:iCs/>
      <w:color w:val="000000"/>
      <w:spacing w:val="0"/>
      <w:w w:val="80"/>
      <w:position w:val="0"/>
      <w:sz w:val="28"/>
      <w:szCs w:val="28"/>
      <w:u w:val="none"/>
      <w:lang w:val="en-US" w:eastAsia="en-US" w:bidi="en-US"/>
    </w:rPr>
  </w:style>
  <w:style w:type="character" w:customStyle="1" w:styleId="39">
    <w:name w:val="MSG_EN_FONT_STYLE_NAME_TEMPLATE_ROLE MSG_EN_FONT_STYLE_NAME_BY_ROLE_TABLE_OF_CONTENTS_"/>
    <w:basedOn w:val="15"/>
    <w:link w:val="40"/>
    <w:qFormat/>
    <w:uiPriority w:val="0"/>
    <w:rPr>
      <w:rFonts w:ascii="PMingLiU" w:hAnsi="PMingLiU" w:eastAsia="PMingLiU" w:cs="PMingLiU"/>
      <w:spacing w:val="10"/>
      <w:sz w:val="20"/>
      <w:szCs w:val="20"/>
      <w:u w:val="none"/>
    </w:rPr>
  </w:style>
  <w:style w:type="paragraph" w:customStyle="1" w:styleId="40">
    <w:name w:val="MSG_EN_FONT_STYLE_NAME_TEMPLATE_ROLE MSG_EN_FONT_STYLE_NAME_BY_ROLE_TABLE_OF_CONTENTS"/>
    <w:basedOn w:val="1"/>
    <w:link w:val="39"/>
    <w:qFormat/>
    <w:uiPriority w:val="0"/>
    <w:pPr>
      <w:shd w:val="clear" w:color="auto" w:fill="FFFFFF"/>
      <w:spacing w:line="390" w:lineRule="exact"/>
      <w:jc w:val="both"/>
    </w:pPr>
    <w:rPr>
      <w:rFonts w:ascii="PMingLiU" w:hAnsi="PMingLiU" w:eastAsia="PMingLiU" w:cs="PMingLiU"/>
      <w:spacing w:val="10"/>
      <w:sz w:val="20"/>
      <w:szCs w:val="20"/>
    </w:rPr>
  </w:style>
  <w:style w:type="character" w:customStyle="1" w:styleId="41">
    <w:name w:val="MSG_EN_FONT_STYLE_NAME_TEMPLATE_ROLE MSG_EN_FONT_STYLE_NAME_BY_ROLE_TABLE_OF_CONTENTS + MSG_EN_FONT_STYLE_MODIFER_NAME Times New Roman"/>
    <w:basedOn w:val="39"/>
    <w:qFormat/>
    <w:uiPriority w:val="0"/>
    <w:rPr>
      <w:rFonts w:ascii="Times New Roman" w:hAnsi="Times New Roman" w:eastAsia="Times New Roman" w:cs="Times New Roman"/>
      <w:color w:val="000000"/>
      <w:spacing w:val="0"/>
      <w:w w:val="100"/>
      <w:position w:val="0"/>
      <w:sz w:val="22"/>
      <w:szCs w:val="22"/>
      <w:u w:val="none"/>
      <w:lang w:val="en-US" w:eastAsia="en-US" w:bidi="en-US"/>
    </w:rPr>
  </w:style>
  <w:style w:type="character" w:customStyle="1" w:styleId="42">
    <w:name w:val="MSG_EN_FONT_STYLE_NAME_TEMPLATE_ROLE MSG_EN_FONT_STYLE_NAME_BY_ROLE_TABLE_OF_CONTENTS + MSG_EN_FONT_STYLE_MODIFER_SPACING 3"/>
    <w:basedOn w:val="39"/>
    <w:qFormat/>
    <w:uiPriority w:val="0"/>
    <w:rPr>
      <w:rFonts w:ascii="PMingLiU" w:hAnsi="PMingLiU" w:eastAsia="PMingLiU" w:cs="PMingLiU"/>
      <w:color w:val="000000"/>
      <w:spacing w:val="60"/>
      <w:w w:val="100"/>
      <w:position w:val="0"/>
      <w:sz w:val="20"/>
      <w:szCs w:val="20"/>
      <w:u w:val="none"/>
      <w:lang w:val="zh-CN" w:eastAsia="zh-CN" w:bidi="zh-CN"/>
    </w:rPr>
  </w:style>
  <w:style w:type="character" w:customStyle="1" w:styleId="43">
    <w:name w:val="MSG_EN_FONT_STYLE_NAME_TEMPLATE_ROLE_NUMBER MSG_EN_FONT_STYLE_NAME_BY_ROLE_TEXT 6_"/>
    <w:basedOn w:val="15"/>
    <w:link w:val="44"/>
    <w:qFormat/>
    <w:uiPriority w:val="0"/>
    <w:rPr>
      <w:sz w:val="20"/>
      <w:szCs w:val="20"/>
      <w:u w:val="none"/>
      <w:lang w:val="en-US" w:eastAsia="en-US" w:bidi="en-US"/>
    </w:rPr>
  </w:style>
  <w:style w:type="paragraph" w:customStyle="1" w:styleId="44">
    <w:name w:val="MSG_EN_FONT_STYLE_NAME_TEMPLATE_ROLE_NUMBER MSG_EN_FONT_STYLE_NAME_BY_ROLE_TEXT 6"/>
    <w:basedOn w:val="1"/>
    <w:link w:val="43"/>
    <w:qFormat/>
    <w:uiPriority w:val="0"/>
    <w:pPr>
      <w:shd w:val="clear" w:color="auto" w:fill="FFFFFF"/>
      <w:spacing w:line="232" w:lineRule="exact"/>
      <w:jc w:val="both"/>
    </w:pPr>
    <w:rPr>
      <w:sz w:val="20"/>
      <w:szCs w:val="20"/>
      <w:lang w:val="en-US" w:eastAsia="en-US" w:bidi="en-US"/>
    </w:rPr>
  </w:style>
  <w:style w:type="character" w:customStyle="1" w:styleId="45">
    <w:name w:val="MSG_EN_FONT_STYLE_NAME_TEMPLATE_ROLE_NUMBER MSG_EN_FONT_STYLE_NAME_BY_ROLE_TEXT 6 + MSG_EN_FONT_STYLE_MODIFER_SIZE 10.5"/>
    <w:basedOn w:val="43"/>
    <w:qFormat/>
    <w:uiPriority w:val="0"/>
    <w:rPr>
      <w:rFonts w:ascii="Times New Roman" w:hAnsi="Times New Roman" w:eastAsia="Times New Roman" w:cs="Times New Roman"/>
      <w:color w:val="000000"/>
      <w:spacing w:val="0"/>
      <w:w w:val="80"/>
      <w:position w:val="0"/>
      <w:sz w:val="21"/>
      <w:szCs w:val="21"/>
      <w:u w:val="none"/>
      <w:lang w:val="zh-CN" w:eastAsia="zh-CN" w:bidi="zh-CN"/>
    </w:rPr>
  </w:style>
  <w:style w:type="character" w:customStyle="1" w:styleId="46">
    <w:name w:val="MSG_EN_FONT_STYLE_NAME_TEMPLATE_ROLE_NUMBER MSG_EN_FONT_STYLE_NAME_BY_ROLE_TEXT 7_"/>
    <w:basedOn w:val="15"/>
    <w:link w:val="47"/>
    <w:qFormat/>
    <w:uiPriority w:val="0"/>
    <w:rPr>
      <w:rFonts w:ascii="PMingLiU" w:hAnsi="PMingLiU" w:eastAsia="PMingLiU" w:cs="PMingLiU"/>
      <w:sz w:val="19"/>
      <w:szCs w:val="19"/>
      <w:u w:val="none"/>
    </w:rPr>
  </w:style>
  <w:style w:type="paragraph" w:customStyle="1" w:styleId="47">
    <w:name w:val="MSG_EN_FONT_STYLE_NAME_TEMPLATE_ROLE_NUMBER MSG_EN_FONT_STYLE_NAME_BY_ROLE_TEXT 7"/>
    <w:basedOn w:val="1"/>
    <w:link w:val="46"/>
    <w:qFormat/>
    <w:uiPriority w:val="0"/>
    <w:pPr>
      <w:shd w:val="clear" w:color="auto" w:fill="FFFFFF"/>
      <w:spacing w:after="720" w:line="190" w:lineRule="exact"/>
    </w:pPr>
    <w:rPr>
      <w:rFonts w:ascii="PMingLiU" w:hAnsi="PMingLiU" w:eastAsia="PMingLiU" w:cs="PMingLiU"/>
      <w:sz w:val="19"/>
      <w:szCs w:val="19"/>
    </w:rPr>
  </w:style>
  <w:style w:type="character" w:customStyle="1" w:styleId="48">
    <w:name w:val="MSG_EN_FONT_STYLE_NAME_TEMPLATE_ROLE_NUMBER MSG_EN_FONT_STYLE_NAME_BY_ROLE_TEXT 2_"/>
    <w:basedOn w:val="15"/>
    <w:link w:val="49"/>
    <w:qFormat/>
    <w:uiPriority w:val="0"/>
    <w:rPr>
      <w:rFonts w:ascii="PMingLiU" w:hAnsi="PMingLiU" w:eastAsia="PMingLiU" w:cs="PMingLiU"/>
      <w:spacing w:val="10"/>
      <w:sz w:val="20"/>
      <w:szCs w:val="20"/>
      <w:u w:val="none"/>
    </w:rPr>
  </w:style>
  <w:style w:type="paragraph" w:customStyle="1" w:styleId="49">
    <w:name w:val="MSG_EN_FONT_STYLE_NAME_TEMPLATE_ROLE_NUMBER MSG_EN_FONT_STYLE_NAME_BY_ROLE_TEXT 2"/>
    <w:basedOn w:val="1"/>
    <w:link w:val="48"/>
    <w:qFormat/>
    <w:uiPriority w:val="0"/>
    <w:pPr>
      <w:shd w:val="clear" w:color="auto" w:fill="FFFFFF"/>
      <w:spacing w:before="720" w:line="330" w:lineRule="exact"/>
      <w:jc w:val="distribute"/>
    </w:pPr>
    <w:rPr>
      <w:rFonts w:ascii="PMingLiU" w:hAnsi="PMingLiU" w:eastAsia="PMingLiU" w:cs="PMingLiU"/>
      <w:spacing w:val="10"/>
      <w:sz w:val="20"/>
      <w:szCs w:val="20"/>
    </w:rPr>
  </w:style>
  <w:style w:type="character" w:customStyle="1" w:styleId="50">
    <w:name w:val="MSG_EN_FONT_STYLE_NAME_TEMPLATE_ROLE_NUMBER MSG_EN_FONT_STYLE_NAME_BY_ROLE_TEXT 2 + MSG_EN_FONT_STYLE_MODIFER_NAME Times New Roman"/>
    <w:basedOn w:val="48"/>
    <w:qFormat/>
    <w:uiPriority w:val="0"/>
    <w:rPr>
      <w:rFonts w:ascii="Times New Roman" w:hAnsi="Times New Roman" w:eastAsia="Times New Roman" w:cs="Times New Roman"/>
      <w:color w:val="000000"/>
      <w:spacing w:val="0"/>
      <w:w w:val="100"/>
      <w:position w:val="0"/>
      <w:sz w:val="22"/>
      <w:szCs w:val="22"/>
      <w:u w:val="none"/>
      <w:lang w:val="en-US" w:eastAsia="en-US" w:bidi="en-US"/>
    </w:rPr>
  </w:style>
  <w:style w:type="character" w:customStyle="1" w:styleId="51">
    <w:name w:val="MSG_EN_FONT_STYLE_NAME_TEMPLATE_ROLE MSG_EN_FONT_STYLE_NAME_BY_ROLE_RUNNING_TITLE + MSG_EN_FONT_STYLE_MODIFER_SIZE 9"/>
    <w:basedOn w:val="33"/>
    <w:qFormat/>
    <w:uiPriority w:val="0"/>
    <w:rPr>
      <w:rFonts w:ascii="Times New Roman" w:hAnsi="Times New Roman" w:eastAsia="Times New Roman" w:cs="Times New Roman"/>
      <w:color w:val="000000"/>
      <w:spacing w:val="0"/>
      <w:w w:val="100"/>
      <w:position w:val="0"/>
      <w:sz w:val="18"/>
      <w:szCs w:val="18"/>
      <w:u w:val="none"/>
      <w:lang w:val="zh-CN" w:eastAsia="zh-CN" w:bidi="zh-CN"/>
    </w:rPr>
  </w:style>
  <w:style w:type="character" w:customStyle="1" w:styleId="52">
    <w:name w:val="MSG_EN_FONT_STYLE_NAME_TEMPLATE_ROLE_NUMBER MSG_EN_FONT_STYLE_NAME_BY_ROLE_TEXT 8_"/>
    <w:basedOn w:val="15"/>
    <w:link w:val="53"/>
    <w:qFormat/>
    <w:uiPriority w:val="0"/>
    <w:rPr>
      <w:b/>
      <w:bCs/>
      <w:sz w:val="21"/>
      <w:szCs w:val="21"/>
      <w:u w:val="none"/>
      <w:lang w:val="en-US" w:eastAsia="en-US" w:bidi="en-US"/>
    </w:rPr>
  </w:style>
  <w:style w:type="paragraph" w:customStyle="1" w:styleId="53">
    <w:name w:val="MSG_EN_FONT_STYLE_NAME_TEMPLATE_ROLE_NUMBER MSG_EN_FONT_STYLE_NAME_BY_ROLE_TEXT 8"/>
    <w:basedOn w:val="1"/>
    <w:link w:val="52"/>
    <w:qFormat/>
    <w:uiPriority w:val="0"/>
    <w:pPr>
      <w:shd w:val="clear" w:color="auto" w:fill="FFFFFF"/>
      <w:spacing w:line="330" w:lineRule="exact"/>
      <w:jc w:val="both"/>
    </w:pPr>
    <w:rPr>
      <w:b/>
      <w:bCs/>
      <w:sz w:val="21"/>
      <w:szCs w:val="21"/>
      <w:lang w:val="en-US" w:eastAsia="en-US" w:bidi="en-US"/>
    </w:rPr>
  </w:style>
  <w:style w:type="character" w:customStyle="1" w:styleId="54">
    <w:name w:val="MSG_EN_FONT_STYLE_NAME_TEMPLATE_ROLE_NUMBER MSG_EN_FONT_STYLE_NAME_BY_ROLE_TEXT 8 + MSG_EN_FONT_STYLE_MODIFER_NAME PMingLiU"/>
    <w:basedOn w:val="52"/>
    <w:qFormat/>
    <w:uiPriority w:val="0"/>
    <w:rPr>
      <w:rFonts w:ascii="PMingLiU" w:hAnsi="PMingLiU" w:eastAsia="PMingLiU" w:cs="PMingLiU"/>
      <w:color w:val="000000"/>
      <w:spacing w:val="20"/>
      <w:w w:val="100"/>
      <w:position w:val="0"/>
      <w:sz w:val="20"/>
      <w:szCs w:val="20"/>
      <w:u w:val="none"/>
      <w:lang w:val="zh-CN" w:eastAsia="zh-CN" w:bidi="zh-CN"/>
    </w:rPr>
  </w:style>
  <w:style w:type="character" w:customStyle="1" w:styleId="55">
    <w:name w:val="MSG_EN_FONT_STYLE_NAME_TEMPLATE_ROLE_NUMBER MSG_EN_FONT_STYLE_NAME_BY_ROLE_TEXT 2 + MSG_EN_FONT_STYLE_MODIFER_SPACING 2"/>
    <w:basedOn w:val="48"/>
    <w:qFormat/>
    <w:uiPriority w:val="0"/>
    <w:rPr>
      <w:rFonts w:ascii="PMingLiU" w:hAnsi="PMingLiU" w:eastAsia="PMingLiU" w:cs="PMingLiU"/>
      <w:color w:val="000000"/>
      <w:spacing w:val="50"/>
      <w:w w:val="100"/>
      <w:position w:val="0"/>
      <w:sz w:val="20"/>
      <w:szCs w:val="20"/>
      <w:u w:val="none"/>
      <w:lang w:val="en-US" w:eastAsia="en-US" w:bidi="en-US"/>
    </w:rPr>
  </w:style>
  <w:style w:type="character" w:customStyle="1" w:styleId="56">
    <w:name w:val="MSG_EN_FONT_STYLE_NAME_TEMPLATE_ROLE_NUMBER MSG_EN_FONT_STYLE_NAME_BY_ROLE_TEXT 2 + MSG_EN_FONT_STYLE_MODIFER_NAME SimSun"/>
    <w:basedOn w:val="48"/>
    <w:qFormat/>
    <w:uiPriority w:val="0"/>
    <w:rPr>
      <w:rFonts w:ascii="宋体" w:hAnsi="宋体" w:eastAsia="宋体" w:cs="宋体"/>
      <w:color w:val="000000"/>
      <w:spacing w:val="0"/>
      <w:w w:val="100"/>
      <w:position w:val="0"/>
      <w:sz w:val="22"/>
      <w:szCs w:val="22"/>
      <w:u w:val="none"/>
      <w:lang w:val="en-US" w:eastAsia="en-US" w:bidi="en-US"/>
    </w:rPr>
  </w:style>
  <w:style w:type="character" w:customStyle="1" w:styleId="57">
    <w:name w:val="MSG_EN_FONT_STYLE_NAME_TEMPLATE_ROLE_NUMBER MSG_EN_FONT_STYLE_NAME_BY_ROLE_TEXT 3 + MSG_EN_FONT_STYLE_MODIFER_SPACING 3"/>
    <w:basedOn w:val="22"/>
    <w:qFormat/>
    <w:uiPriority w:val="0"/>
    <w:rPr>
      <w:rFonts w:ascii="PMingLiU" w:hAnsi="PMingLiU" w:eastAsia="PMingLiU" w:cs="PMingLiU"/>
      <w:color w:val="000000"/>
      <w:spacing w:val="70"/>
      <w:w w:val="100"/>
      <w:position w:val="0"/>
      <w:sz w:val="20"/>
      <w:szCs w:val="20"/>
      <w:u w:val="none"/>
      <w:lang w:val="zh-CN" w:eastAsia="zh-CN" w:bidi="zh-CN"/>
    </w:rPr>
  </w:style>
  <w:style w:type="character" w:customStyle="1" w:styleId="58">
    <w:name w:val="MSG_EN_FONT_STYLE_NAME_TEMPLATE_ROLE_NUMBER MSG_EN_FONT_STYLE_NAME_BY_ROLE_TEXT 2 + MSG_EN_FONT_STYLE_MODIFER_SPACING 1"/>
    <w:basedOn w:val="48"/>
    <w:qFormat/>
    <w:uiPriority w:val="0"/>
    <w:rPr>
      <w:rFonts w:ascii="PMingLiU" w:hAnsi="PMingLiU" w:eastAsia="PMingLiU" w:cs="PMingLiU"/>
      <w:color w:val="000000"/>
      <w:spacing w:val="20"/>
      <w:w w:val="100"/>
      <w:position w:val="0"/>
      <w:sz w:val="20"/>
      <w:szCs w:val="20"/>
      <w:u w:val="none"/>
      <w:lang w:val="en-US" w:eastAsia="en-US" w:bidi="en-US"/>
    </w:rPr>
  </w:style>
  <w:style w:type="character" w:customStyle="1" w:styleId="59">
    <w:name w:val="MSG_EN_FONT_STYLE_NAME_TEMPLATE_ROLE_NUMBER MSG_EN_FONT_STYLE_NAME_BY_ROLE_TEXT 3 Exact"/>
    <w:basedOn w:val="15"/>
    <w:qFormat/>
    <w:uiPriority w:val="0"/>
    <w:rPr>
      <w:rFonts w:ascii="PMingLiU" w:hAnsi="PMingLiU" w:eastAsia="PMingLiU" w:cs="PMingLiU"/>
      <w:spacing w:val="50"/>
      <w:sz w:val="20"/>
      <w:szCs w:val="20"/>
      <w:u w:val="none"/>
      <w:lang w:val="en-US" w:eastAsia="en-US" w:bidi="en-US"/>
    </w:rPr>
  </w:style>
  <w:style w:type="character" w:customStyle="1" w:styleId="60">
    <w:name w:val="MSG_EN_FONT_STYLE_NAME_TEMPLATE_ROLE_NUMBER MSG_EN_FONT_STYLE_NAME_BY_ROLE_TEXT 3 + MSG_EN_FONT_STYLE_MODIFER_SPACING 1 Exact"/>
    <w:basedOn w:val="22"/>
    <w:qFormat/>
    <w:uiPriority w:val="0"/>
    <w:rPr>
      <w:rFonts w:ascii="PMingLiU" w:hAnsi="PMingLiU" w:eastAsia="PMingLiU" w:cs="PMingLiU"/>
      <w:color w:val="000000"/>
      <w:spacing w:val="30"/>
      <w:w w:val="100"/>
      <w:position w:val="0"/>
      <w:sz w:val="20"/>
      <w:szCs w:val="20"/>
      <w:u w:val="none"/>
      <w:lang w:val="zh-CN" w:eastAsia="zh-CN" w:bidi="zh-CN"/>
    </w:rPr>
  </w:style>
  <w:style w:type="character" w:customStyle="1" w:styleId="61">
    <w:name w:val="MSG_EN_FONT_STYLE_NAME_TEMPLATE_ROLE_NUMBER MSG_EN_FONT_STYLE_NAME_BY_ROLE_TEXT 3 + MSG_EN_FONT_STYLE_MODIFER_NAME Times New Roman1"/>
    <w:basedOn w:val="22"/>
    <w:qFormat/>
    <w:uiPriority w:val="0"/>
    <w:rPr>
      <w:rFonts w:ascii="Times New Roman" w:hAnsi="Times New Roman" w:eastAsia="Times New Roman" w:cs="Times New Roman"/>
      <w:b/>
      <w:bCs/>
      <w:color w:val="000000"/>
      <w:spacing w:val="0"/>
      <w:w w:val="100"/>
      <w:position w:val="0"/>
      <w:sz w:val="21"/>
      <w:szCs w:val="21"/>
      <w:u w:val="none"/>
      <w:lang w:val="en-US" w:eastAsia="en-US" w:bidi="en-US"/>
    </w:rPr>
  </w:style>
  <w:style w:type="character" w:customStyle="1" w:styleId="62">
    <w:name w:val="MSG_EN_FONT_STYLE_NAME_TEMPLATE_ROLE_NUMBER MSG_EN_FONT_STYLE_NAME_BY_ROLE_TEXT 3 + MSG_EN_FONT_STYLE_MODIFER_SPACING 12"/>
    <w:basedOn w:val="22"/>
    <w:qFormat/>
    <w:uiPriority w:val="0"/>
    <w:rPr>
      <w:rFonts w:ascii="PMingLiU" w:hAnsi="PMingLiU" w:eastAsia="PMingLiU" w:cs="PMingLiU"/>
      <w:color w:val="000000"/>
      <w:spacing w:val="250"/>
      <w:w w:val="100"/>
      <w:position w:val="0"/>
      <w:sz w:val="20"/>
      <w:szCs w:val="20"/>
      <w:u w:val="none"/>
      <w:lang w:val="zh-CN" w:eastAsia="zh-CN" w:bidi="zh-CN"/>
    </w:rPr>
  </w:style>
  <w:style w:type="character" w:customStyle="1" w:styleId="63">
    <w:name w:val="MSG_EN_FONT_STYLE_NAME_TEMPLATE_ROLE_NUMBER MSG_EN_FONT_STYLE_NAME_BY_ROLE_TEXT 3 + MSG_EN_FONT_STYLE_MODIFER_SPACING 11"/>
    <w:basedOn w:val="22"/>
    <w:qFormat/>
    <w:uiPriority w:val="0"/>
    <w:rPr>
      <w:rFonts w:ascii="PMingLiU" w:hAnsi="PMingLiU" w:eastAsia="PMingLiU" w:cs="PMingLiU"/>
      <w:color w:val="000000"/>
      <w:spacing w:val="30"/>
      <w:w w:val="100"/>
      <w:position w:val="0"/>
      <w:sz w:val="20"/>
      <w:szCs w:val="20"/>
      <w:u w:val="none"/>
      <w:lang w:val="zh-CN" w:eastAsia="zh-CN" w:bidi="zh-CN"/>
    </w:rPr>
  </w:style>
  <w:style w:type="paragraph" w:customStyle="1" w:styleId="64">
    <w:name w:val="标准文件_章标题"/>
    <w:next w:val="1"/>
    <w:qFormat/>
    <w:uiPriority w:val="0"/>
    <w:pPr>
      <w:numPr>
        <w:ilvl w:val="1"/>
        <w:numId w:val="1"/>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65">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66">
    <w:name w:val="标准文件_段"/>
    <w:link w:val="67"/>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67">
    <w:name w:val="标准文件_段 Char"/>
    <w:link w:val="66"/>
    <w:qFormat/>
    <w:uiPriority w:val="0"/>
    <w:rPr>
      <w:rFonts w:ascii="宋体" w:eastAsia="宋体"/>
      <w:sz w:val="21"/>
      <w:szCs w:val="20"/>
      <w:lang w:val="en-US" w:bidi="ar-SA"/>
    </w:rPr>
  </w:style>
  <w:style w:type="paragraph" w:customStyle="1" w:styleId="68">
    <w:name w:val="标准文件_术语条一"/>
    <w:basedOn w:val="1"/>
    <w:next w:val="66"/>
    <w:qFormat/>
    <w:uiPriority w:val="0"/>
    <w:pPr>
      <w:widowControl/>
      <w:numPr>
        <w:ilvl w:val="2"/>
        <w:numId w:val="1"/>
      </w:numPr>
      <w:jc w:val="both"/>
    </w:pPr>
    <w:rPr>
      <w:rFonts w:ascii="宋体" w:eastAsia="宋体"/>
      <w:color w:val="auto"/>
      <w:sz w:val="21"/>
      <w:szCs w:val="20"/>
      <w:lang w:val="en-US" w:bidi="ar-SA"/>
    </w:rPr>
  </w:style>
  <w:style w:type="paragraph" w:customStyle="1" w:styleId="69">
    <w:name w:val="标准文件_二级条标题"/>
    <w:next w:val="66"/>
    <w:qFormat/>
    <w:uiPriority w:val="0"/>
    <w:pPr>
      <w:widowControl w:val="0"/>
      <w:numPr>
        <w:ilvl w:val="3"/>
        <w:numId w:val="1"/>
      </w:numPr>
      <w:spacing w:before="50" w:beforeLines="50" w:after="50" w:afterLines="50"/>
      <w:jc w:val="both"/>
      <w:outlineLvl w:val="2"/>
    </w:pPr>
    <w:rPr>
      <w:rFonts w:ascii="黑体" w:hAnsi="Times New Roman" w:eastAsia="黑体" w:cs="Times New Roman"/>
      <w:sz w:val="21"/>
      <w:lang w:val="en-US" w:eastAsia="zh-CN" w:bidi="ar-SA"/>
    </w:rPr>
  </w:style>
  <w:style w:type="paragraph" w:customStyle="1" w:styleId="70">
    <w:name w:val="修订1"/>
    <w:hidden/>
    <w:semiHidden/>
    <w:qFormat/>
    <w:uiPriority w:val="99"/>
    <w:rPr>
      <w:rFonts w:ascii="Times New Roman" w:hAnsi="Times New Roman" w:eastAsia="Times New Roman" w:cs="Times New Roman"/>
      <w:color w:val="000000"/>
      <w:sz w:val="24"/>
      <w:szCs w:val="24"/>
      <w:lang w:val="zh-CN" w:eastAsia="zh-CN" w:bidi="zh-CN"/>
    </w:rPr>
  </w:style>
  <w:style w:type="paragraph" w:customStyle="1" w:styleId="71">
    <w:name w:val="标准文件_三级条标题"/>
    <w:basedOn w:val="69"/>
    <w:next w:val="66"/>
    <w:qFormat/>
    <w:uiPriority w:val="0"/>
    <w:pPr>
      <w:widowControl/>
      <w:numPr>
        <w:ilvl w:val="0"/>
        <w:numId w:val="0"/>
      </w:numPr>
      <w:outlineLvl w:val="3"/>
    </w:pPr>
  </w:style>
  <w:style w:type="paragraph" w:customStyle="1" w:styleId="72">
    <w:name w:val="标准文件_四级条标题"/>
    <w:next w:val="66"/>
    <w:qFormat/>
    <w:uiPriority w:val="0"/>
    <w:pPr>
      <w:widowControl w:val="0"/>
      <w:spacing w:before="50" w:beforeLines="50" w:after="50" w:afterLines="50"/>
      <w:jc w:val="both"/>
      <w:outlineLvl w:val="4"/>
    </w:pPr>
    <w:rPr>
      <w:rFonts w:ascii="黑体" w:hAnsi="Times New Roman" w:eastAsia="黑体" w:cs="Times New Roman"/>
      <w:sz w:val="21"/>
      <w:lang w:val="en-US" w:eastAsia="zh-CN" w:bidi="ar-SA"/>
    </w:rPr>
  </w:style>
  <w:style w:type="paragraph" w:customStyle="1" w:styleId="73">
    <w:name w:val="标准文件_五级条标题"/>
    <w:next w:val="66"/>
    <w:qFormat/>
    <w:uiPriority w:val="0"/>
    <w:pPr>
      <w:widowControl w:val="0"/>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74">
    <w:name w:val="标准文件_一级条标题"/>
    <w:basedOn w:val="64"/>
    <w:next w:val="66"/>
    <w:qFormat/>
    <w:uiPriority w:val="0"/>
    <w:pPr>
      <w:numPr>
        <w:ilvl w:val="0"/>
        <w:numId w:val="0"/>
      </w:numPr>
      <w:spacing w:before="50" w:beforeLines="50" w:after="50" w:afterLines="50"/>
      <w:outlineLvl w:val="1"/>
    </w:pPr>
  </w:style>
  <w:style w:type="paragraph" w:customStyle="1" w:styleId="75">
    <w:name w:val="前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character" w:customStyle="1" w:styleId="76">
    <w:name w:val="批注文字 字符"/>
    <w:basedOn w:val="15"/>
    <w:link w:val="5"/>
    <w:qFormat/>
    <w:uiPriority w:val="99"/>
    <w:rPr>
      <w:rFonts w:eastAsia="Times New Roman"/>
      <w:color w:val="000000"/>
    </w:rPr>
  </w:style>
  <w:style w:type="character" w:customStyle="1" w:styleId="77">
    <w:name w:val="批注主题 字符"/>
    <w:basedOn w:val="76"/>
    <w:link w:val="12"/>
    <w:semiHidden/>
    <w:qFormat/>
    <w:uiPriority w:val="99"/>
    <w:rPr>
      <w:rFonts w:eastAsia="Times New Roman"/>
      <w:b/>
      <w:bCs/>
      <w:color w:val="000000"/>
    </w:rPr>
  </w:style>
  <w:style w:type="paragraph" w:styleId="78">
    <w:name w:val="List Paragraph"/>
    <w:basedOn w:val="1"/>
    <w:qFormat/>
    <w:uiPriority w:val="34"/>
    <w:pPr>
      <w:ind w:firstLine="420" w:firstLineChars="200"/>
    </w:pPr>
  </w:style>
  <w:style w:type="character" w:customStyle="1" w:styleId="79">
    <w:name w:val="页脚 字符"/>
    <w:basedOn w:val="15"/>
    <w:link w:val="7"/>
    <w:qFormat/>
    <w:uiPriority w:val="99"/>
    <w:rPr>
      <w:rFonts w:eastAsia="Times New Roman"/>
      <w:color w:val="000000"/>
      <w:sz w:val="18"/>
      <w:szCs w:val="18"/>
    </w:rPr>
  </w:style>
  <w:style w:type="character" w:customStyle="1" w:styleId="80">
    <w:name w:val="页眉 字符"/>
    <w:basedOn w:val="15"/>
    <w:link w:val="8"/>
    <w:qFormat/>
    <w:uiPriority w:val="99"/>
    <w:rPr>
      <w:rFonts w:eastAsia="Times New Roman"/>
      <w:color w:val="000000"/>
      <w:sz w:val="18"/>
      <w:szCs w:val="18"/>
    </w:rPr>
  </w:style>
  <w:style w:type="paragraph" w:customStyle="1" w:styleId="81">
    <w:name w:val="标准文件_参考文献条目"/>
    <w:qFormat/>
    <w:uiPriority w:val="0"/>
    <w:pPr>
      <w:numPr>
        <w:ilvl w:val="0"/>
        <w:numId w:val="2"/>
      </w:numPr>
    </w:pPr>
    <w:rPr>
      <w:rFonts w:ascii="宋体" w:hAnsi="Times New Roman" w:eastAsia="宋体" w:cs="Times New Roman"/>
      <w:lang w:val="en-US" w:eastAsia="zh-CN" w:bidi="ar-SA"/>
    </w:rPr>
  </w:style>
  <w:style w:type="character" w:customStyle="1" w:styleId="82">
    <w:name w:val="未处理的提及1"/>
    <w:basedOn w:val="15"/>
    <w:semiHidden/>
    <w:unhideWhenUsed/>
    <w:qFormat/>
    <w:uiPriority w:val="99"/>
    <w:rPr>
      <w:color w:val="605E5C"/>
      <w:shd w:val="clear" w:color="auto" w:fill="E1DFDD"/>
    </w:rPr>
  </w:style>
  <w:style w:type="paragraph" w:customStyle="1" w:styleId="83">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84">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85">
    <w:name w:val="其他发布日期"/>
    <w:basedOn w:val="1"/>
    <w:qFormat/>
    <w:uiPriority w:val="0"/>
    <w:pPr>
      <w:framePr w:w="3997" w:h="471" w:hRule="exact" w:vSpace="181" w:wrap="around" w:vAnchor="page" w:hAnchor="page" w:x="1419" w:y="14097" w:anchorLock="1"/>
      <w:widowControl/>
    </w:pPr>
    <w:rPr>
      <w:rFonts w:eastAsia="黑体"/>
      <w:color w:val="auto"/>
      <w:sz w:val="28"/>
      <w:szCs w:val="20"/>
      <w:lang w:val="en-US" w:bidi="ar-SA"/>
    </w:rPr>
  </w:style>
  <w:style w:type="paragraph" w:customStyle="1" w:styleId="86">
    <w:name w:val="其他实施日期"/>
    <w:basedOn w:val="1"/>
    <w:qFormat/>
    <w:uiPriority w:val="0"/>
    <w:pPr>
      <w:framePr w:w="3997" w:h="471" w:hRule="exact" w:vSpace="181" w:wrap="around" w:vAnchor="page" w:hAnchor="page" w:x="7089" w:y="14097" w:anchorLock="1"/>
      <w:widowControl/>
      <w:jc w:val="right"/>
    </w:pPr>
    <w:rPr>
      <w:rFonts w:eastAsia="黑体"/>
      <w:color w:val="auto"/>
      <w:sz w:val="28"/>
      <w:szCs w:val="20"/>
      <w:lang w:val="en-US" w:bidi="ar-SA"/>
    </w:rPr>
  </w:style>
  <w:style w:type="paragraph" w:customStyle="1" w:styleId="87">
    <w:name w:val="标准文件_文件名称"/>
    <w:basedOn w:val="66"/>
    <w:next w:val="66"/>
    <w:qFormat/>
    <w:uiPriority w:val="0"/>
    <w:pPr>
      <w:framePr w:w="9639" w:h="6976" w:hRule="exact" w:wrap="auto" w:vAnchor="page" w:hAnchor="page" w:y="6408"/>
      <w:autoSpaceDE/>
      <w:autoSpaceDN/>
      <w:spacing w:line="700" w:lineRule="exact"/>
      <w:ind w:firstLine="0" w:firstLineChars="0"/>
      <w:jc w:val="center"/>
    </w:pPr>
    <w:rPr>
      <w:rFonts w:ascii="黑体" w:hAnsi="黑体" w:eastAsia="黑体"/>
      <w:bCs/>
      <w:sz w:val="52"/>
    </w:rPr>
  </w:style>
  <w:style w:type="paragraph" w:customStyle="1" w:styleId="88">
    <w:name w:val="标准文件_文件编号"/>
    <w:basedOn w:val="66"/>
    <w:qFormat/>
    <w:uiPriority w:val="0"/>
    <w:pPr>
      <w:framePr w:w="9356" w:h="624" w:hRule="exact" w:hSpace="181" w:vSpace="181" w:wrap="auto" w:vAnchor="page" w:hAnchor="page" w:x="1419" w:y="3284"/>
      <w:wordWrap w:val="0"/>
      <w:spacing w:line="280" w:lineRule="exact"/>
      <w:ind w:firstLine="0" w:firstLineChars="0"/>
      <w:jc w:val="right"/>
    </w:pPr>
    <w:rPr>
      <w:rFonts w:ascii="黑体" w:eastAsia="黑体"/>
      <w:bCs/>
      <w:sz w:val="28"/>
      <w:szCs w:val="28"/>
    </w:rPr>
  </w:style>
  <w:style w:type="paragraph" w:customStyle="1" w:styleId="89">
    <w:name w:val="标准文件_替换文件编号"/>
    <w:basedOn w:val="88"/>
    <w:qFormat/>
    <w:uiPriority w:val="0"/>
    <w:pPr>
      <w:spacing w:before="57"/>
    </w:pPr>
    <w:rPr>
      <w:sz w:val="21"/>
    </w:rPr>
  </w:style>
  <w:style w:type="paragraph" w:customStyle="1" w:styleId="90">
    <w:name w:val="标准文件_目录标题"/>
    <w:basedOn w:val="1"/>
    <w:qFormat/>
    <w:uiPriority w:val="0"/>
    <w:pPr>
      <w:adjustRightInd w:val="0"/>
      <w:spacing w:before="480" w:after="150" w:afterLines="150"/>
      <w:jc w:val="center"/>
    </w:pPr>
    <w:rPr>
      <w:rFonts w:ascii="黑体" w:hAnsi="Calibri" w:eastAsia="黑体"/>
      <w:color w:val="auto"/>
      <w:kern w:val="2"/>
      <w:sz w:val="32"/>
      <w:szCs w:val="21"/>
      <w:lang w:val="en-US" w:bidi="ar-SA"/>
    </w:rPr>
  </w:style>
  <w:style w:type="paragraph" w:customStyle="1" w:styleId="91">
    <w:name w:val="修订2"/>
    <w:hidden/>
    <w:unhideWhenUsed/>
    <w:qFormat/>
    <w:uiPriority w:val="99"/>
    <w:rPr>
      <w:rFonts w:ascii="Times New Roman" w:hAnsi="Times New Roman" w:eastAsia="Times New Roman" w:cs="Times New Roman"/>
      <w:color w:val="000000"/>
      <w:sz w:val="24"/>
      <w:szCs w:val="24"/>
      <w:lang w:val="zh-CN" w:eastAsia="zh-CN" w:bidi="zh-CN"/>
    </w:rPr>
  </w:style>
  <w:style w:type="character" w:customStyle="1" w:styleId="92">
    <w:name w:val="fontstyle01"/>
    <w:basedOn w:val="15"/>
    <w:qFormat/>
    <w:uiPriority w:val="0"/>
    <w:rPr>
      <w:rFonts w:hint="default" w:ascii="HiddenHorzOCR-Identity-H" w:hAnsi="HiddenHorzOCR-Identity-H"/>
      <w:color w:val="000000"/>
      <w:sz w:val="20"/>
      <w:szCs w:val="20"/>
    </w:rPr>
  </w:style>
  <w:style w:type="character" w:customStyle="1" w:styleId="93">
    <w:name w:val="标题 1 字符"/>
    <w:basedOn w:val="15"/>
    <w:link w:val="2"/>
    <w:qFormat/>
    <w:uiPriority w:val="9"/>
    <w:rPr>
      <w:rFonts w:eastAsia="Times New Roman"/>
      <w:b/>
      <w:bCs/>
      <w:color w:val="000000"/>
      <w:kern w:val="44"/>
      <w:sz w:val="44"/>
      <w:szCs w:val="44"/>
      <w:lang w:val="zh-CN" w:bidi="zh-CN"/>
    </w:rPr>
  </w:style>
  <w:style w:type="paragraph" w:customStyle="1" w:styleId="94">
    <w:name w:val="TOC 标题1"/>
    <w:basedOn w:val="2"/>
    <w:next w:val="1"/>
    <w:unhideWhenUsed/>
    <w:qFormat/>
    <w:uiPriority w:val="39"/>
    <w:pPr>
      <w:widowControl/>
      <w:spacing w:before="240" w:after="0" w:line="259" w:lineRule="auto"/>
      <w:outlineLvl w:val="9"/>
    </w:pPr>
    <w:rPr>
      <w:rFonts w:asciiTheme="majorHAnsi" w:hAnsiTheme="majorHAnsi" w:eastAsiaTheme="majorEastAsia" w:cstheme="majorBidi"/>
      <w:b w:val="0"/>
      <w:bCs w:val="0"/>
      <w:color w:val="2F5597" w:themeColor="accent1" w:themeShade="BF"/>
      <w:kern w:val="0"/>
      <w:sz w:val="32"/>
      <w:szCs w:val="32"/>
      <w:lang w:val="en-US" w:bidi="ar-SA"/>
    </w:rPr>
  </w:style>
  <w:style w:type="character" w:customStyle="1" w:styleId="95">
    <w:name w:val="标题 3 字符"/>
    <w:basedOn w:val="15"/>
    <w:link w:val="4"/>
    <w:semiHidden/>
    <w:qFormat/>
    <w:uiPriority w:val="9"/>
    <w:rPr>
      <w:rFonts w:eastAsia="Times New Roman"/>
      <w:b/>
      <w:bCs/>
      <w:color w:val="000000"/>
      <w:sz w:val="32"/>
      <w:szCs w:val="32"/>
      <w:lang w:val="zh-CN" w:bidi="zh-CN"/>
    </w:rPr>
  </w:style>
  <w:style w:type="character" w:customStyle="1" w:styleId="96">
    <w:name w:val="标题 2 字符"/>
    <w:basedOn w:val="15"/>
    <w:link w:val="3"/>
    <w:semiHidden/>
    <w:qFormat/>
    <w:uiPriority w:val="9"/>
    <w:rPr>
      <w:rFonts w:asciiTheme="majorHAnsi" w:hAnsiTheme="majorHAnsi" w:eastAsiaTheme="majorEastAsia" w:cstheme="majorBidi"/>
      <w:b/>
      <w:bCs/>
      <w:color w:val="000000"/>
      <w:sz w:val="32"/>
      <w:szCs w:val="32"/>
      <w:lang w:val="zh-CN" w:bidi="zh-CN"/>
    </w:rPr>
  </w:style>
  <w:style w:type="paragraph" w:customStyle="1" w:styleId="97">
    <w:name w:val="标准文件_一级无标题"/>
    <w:basedOn w:val="74"/>
    <w:qFormat/>
    <w:uiPriority w:val="0"/>
    <w:pPr>
      <w:spacing w:before="0" w:beforeLines="0" w:after="0" w:afterLines="0"/>
      <w:outlineLvl w:val="9"/>
    </w:pPr>
    <w:rPr>
      <w:rFonts w:ascii="宋体" w:eastAsia="宋体"/>
    </w:rPr>
  </w:style>
  <w:style w:type="paragraph" w:customStyle="1" w:styleId="98">
    <w:name w:val="标准文件_二级无标题"/>
    <w:basedOn w:val="69"/>
    <w:qFormat/>
    <w:uiPriority w:val="0"/>
    <w:pPr>
      <w:numPr>
        <w:numId w:val="2"/>
      </w:numPr>
      <w:tabs>
        <w:tab w:val="left" w:pos="1646"/>
        <w:tab w:val="left" w:pos="2678"/>
      </w:tabs>
      <w:spacing w:before="0" w:beforeLines="0" w:after="0" w:afterLines="0"/>
      <w:outlineLvl w:val="9"/>
    </w:pPr>
    <w:rPr>
      <w:rFonts w:ascii="宋体" w:eastAsia="宋体"/>
    </w:rPr>
  </w:style>
  <w:style w:type="paragraph" w:customStyle="1" w:styleId="99">
    <w:name w:val="修订3"/>
    <w:hidden/>
    <w:unhideWhenUsed/>
    <w:qFormat/>
    <w:uiPriority w:val="99"/>
    <w:rPr>
      <w:rFonts w:ascii="Times New Roman" w:hAnsi="Times New Roman" w:eastAsia="Times New Roman" w:cs="Times New Roman"/>
      <w:color w:val="000000"/>
      <w:sz w:val="24"/>
      <w:szCs w:val="24"/>
      <w:lang w:val="zh-CN" w:eastAsia="zh-CN" w:bidi="zh-CN"/>
    </w:rPr>
  </w:style>
  <w:style w:type="paragraph" w:customStyle="1" w:styleId="100">
    <w:name w:val="Revision"/>
    <w:hidden/>
    <w:unhideWhenUsed/>
    <w:qFormat/>
    <w:uiPriority w:val="99"/>
    <w:rPr>
      <w:rFonts w:ascii="Times New Roman" w:hAnsi="Times New Roman" w:eastAsia="Times New Roman" w:cs="Times New Roman"/>
      <w:color w:val="000000"/>
      <w:sz w:val="24"/>
      <w:szCs w:val="24"/>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8" Type="http://schemas.openxmlformats.org/officeDocument/2006/relationships/glossaryDocument" Target="glossary/document.xml"/><Relationship Id="rId27" Type="http://schemas.openxmlformats.org/officeDocument/2006/relationships/fontTable" Target="fontTable.xml"/><Relationship Id="rId26" Type="http://schemas.openxmlformats.org/officeDocument/2006/relationships/customXml" Target="../customXml/item2.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image" Target="media/image3.jpeg"/><Relationship Id="rId22" Type="http://schemas.openxmlformats.org/officeDocument/2006/relationships/image" Target="media/image2.tiff"/><Relationship Id="rId21" Type="http://schemas.openxmlformats.org/officeDocument/2006/relationships/image" Target="media/image1.png"/><Relationship Id="rId20"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oter" Target="footer7.xml"/><Relationship Id="rId18" Type="http://schemas.openxmlformats.org/officeDocument/2006/relationships/footer" Target="footer6.xml"/><Relationship Id="rId17" Type="http://schemas.openxmlformats.org/officeDocument/2006/relationships/header" Target="header8.xml"/><Relationship Id="rId16" Type="http://schemas.openxmlformats.org/officeDocument/2006/relationships/header" Target="header7.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footer" Target="footer4.xml"/><Relationship Id="rId12" Type="http://schemas.openxmlformats.org/officeDocument/2006/relationships/footer" Target="footer3.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8EC0E281E8D541D4BC0731E248A8BDF3"/>
        <w:style w:val=""/>
        <w:category>
          <w:name w:val="常规"/>
          <w:gallery w:val="placeholder"/>
        </w:category>
        <w:types>
          <w:type w:val="bbPlcHdr"/>
        </w:types>
        <w:behaviors>
          <w:behavior w:val="content"/>
        </w:behaviors>
        <w:description w:val=""/>
        <w:guid w:val="{14B9E034-656E-43CD-9D2B-EB8F5CFD2C65}"/>
      </w:docPartPr>
      <w:docPartBody>
        <w:p w14:paraId="0D51D175">
          <w:pPr>
            <w:pStyle w:val="5"/>
            <w:rPr>
              <w:rFonts w:hint="eastAsia"/>
            </w:rPr>
          </w:pPr>
          <w:r>
            <w:rPr>
              <w:rStyle w:val="4"/>
              <w:rFonts w:hint="eastAsia"/>
            </w:rPr>
            <w:t>单击或点击此处输入文字。</w:t>
          </w:r>
        </w:p>
      </w:docPartBody>
    </w:docPart>
    <w:docPart>
      <w:docPartPr>
        <w:name w:val="6DB8B4F0E5D8448897F818536B7B621D"/>
        <w:style w:val=""/>
        <w:category>
          <w:name w:val="常规"/>
          <w:gallery w:val="placeholder"/>
        </w:category>
        <w:types>
          <w:type w:val="bbPlcHdr"/>
        </w:types>
        <w:behaviors>
          <w:behavior w:val="content"/>
        </w:behaviors>
        <w:description w:val=""/>
        <w:guid w:val="{509791DA-1823-4B3C-8D30-E8DE717B24EF}"/>
      </w:docPartPr>
      <w:docPartBody>
        <w:p w14:paraId="78B9869C">
          <w:pPr>
            <w:pStyle w:val="6"/>
            <w:rPr>
              <w:rFonts w:hint="eastAsia"/>
            </w:rPr>
          </w:pPr>
          <w:r>
            <w:rPr>
              <w:rStyle w:val="4"/>
              <w:rFonts w:hint="eastAsia"/>
            </w:rPr>
            <w:t>选择一项。</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29B1"/>
    <w:rsid w:val="0004748E"/>
    <w:rsid w:val="00071198"/>
    <w:rsid w:val="000729B1"/>
    <w:rsid w:val="0009459C"/>
    <w:rsid w:val="000A5A4B"/>
    <w:rsid w:val="000B56A1"/>
    <w:rsid w:val="000E00E5"/>
    <w:rsid w:val="000E0610"/>
    <w:rsid w:val="000E211D"/>
    <w:rsid w:val="000F12A6"/>
    <w:rsid w:val="00140AFA"/>
    <w:rsid w:val="00152E67"/>
    <w:rsid w:val="00171B7E"/>
    <w:rsid w:val="00195FFB"/>
    <w:rsid w:val="001F3B36"/>
    <w:rsid w:val="00225DF1"/>
    <w:rsid w:val="00237D51"/>
    <w:rsid w:val="002453E9"/>
    <w:rsid w:val="00274312"/>
    <w:rsid w:val="002942EF"/>
    <w:rsid w:val="002E13FC"/>
    <w:rsid w:val="002E4352"/>
    <w:rsid w:val="002F7F41"/>
    <w:rsid w:val="00314C1C"/>
    <w:rsid w:val="00326C9D"/>
    <w:rsid w:val="00337FD4"/>
    <w:rsid w:val="003579E1"/>
    <w:rsid w:val="0036265D"/>
    <w:rsid w:val="00376240"/>
    <w:rsid w:val="00384D16"/>
    <w:rsid w:val="00386095"/>
    <w:rsid w:val="003910AC"/>
    <w:rsid w:val="003B32FA"/>
    <w:rsid w:val="00401BF2"/>
    <w:rsid w:val="0046609C"/>
    <w:rsid w:val="004D4213"/>
    <w:rsid w:val="004F31AC"/>
    <w:rsid w:val="0050128D"/>
    <w:rsid w:val="0055254E"/>
    <w:rsid w:val="005A25B8"/>
    <w:rsid w:val="005C7919"/>
    <w:rsid w:val="0063082B"/>
    <w:rsid w:val="00660418"/>
    <w:rsid w:val="00696686"/>
    <w:rsid w:val="006A78DA"/>
    <w:rsid w:val="006D2524"/>
    <w:rsid w:val="007003D4"/>
    <w:rsid w:val="007113F1"/>
    <w:rsid w:val="007156E2"/>
    <w:rsid w:val="007503C6"/>
    <w:rsid w:val="0076615E"/>
    <w:rsid w:val="00777CF7"/>
    <w:rsid w:val="007A5EA3"/>
    <w:rsid w:val="007D4813"/>
    <w:rsid w:val="007F4CCE"/>
    <w:rsid w:val="00802E11"/>
    <w:rsid w:val="008210D3"/>
    <w:rsid w:val="00896C42"/>
    <w:rsid w:val="00922A91"/>
    <w:rsid w:val="00930642"/>
    <w:rsid w:val="00937397"/>
    <w:rsid w:val="009B7B22"/>
    <w:rsid w:val="009F47F6"/>
    <w:rsid w:val="00A16963"/>
    <w:rsid w:val="00A33399"/>
    <w:rsid w:val="00A4782D"/>
    <w:rsid w:val="00A8126D"/>
    <w:rsid w:val="00A9129F"/>
    <w:rsid w:val="00A97FFD"/>
    <w:rsid w:val="00B14A78"/>
    <w:rsid w:val="00B31C7E"/>
    <w:rsid w:val="00B54950"/>
    <w:rsid w:val="00B553EC"/>
    <w:rsid w:val="00B739AD"/>
    <w:rsid w:val="00B814C7"/>
    <w:rsid w:val="00BC66A8"/>
    <w:rsid w:val="00BF5D2C"/>
    <w:rsid w:val="00C2012C"/>
    <w:rsid w:val="00C21BF6"/>
    <w:rsid w:val="00C25047"/>
    <w:rsid w:val="00C330BC"/>
    <w:rsid w:val="00C77FEA"/>
    <w:rsid w:val="00C958A5"/>
    <w:rsid w:val="00CD5A1A"/>
    <w:rsid w:val="00CF129C"/>
    <w:rsid w:val="00D15190"/>
    <w:rsid w:val="00D1745D"/>
    <w:rsid w:val="00D62A40"/>
    <w:rsid w:val="00DB599D"/>
    <w:rsid w:val="00DB7470"/>
    <w:rsid w:val="00DF1A8D"/>
    <w:rsid w:val="00E36F59"/>
    <w:rsid w:val="00EA18CB"/>
    <w:rsid w:val="00EC6FC7"/>
    <w:rsid w:val="00ED235D"/>
    <w:rsid w:val="00F42C81"/>
    <w:rsid w:val="00F43EAA"/>
    <w:rsid w:val="00F66D16"/>
    <w:rsid w:val="00F93E8C"/>
    <w:rsid w:val="00FB16B7"/>
    <w:rsid w:val="00FD43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8EC0E281E8D541D4BC0731E248A8BDF3"/>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6">
    <w:name w:val="6DB8B4F0E5D8448897F818536B7B621D"/>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1CFB87-D546-4127-9DC0-D185B234D1C0}">
  <ds:schemaRefs/>
</ds:datastoreItem>
</file>

<file path=docProps/app.xml><?xml version="1.0" encoding="utf-8"?>
<Properties xmlns="http://schemas.openxmlformats.org/officeDocument/2006/extended-properties" xmlns:vt="http://schemas.openxmlformats.org/officeDocument/2006/docPropsVTypes">
  <Template>Normal</Template>
  <Pages>10</Pages>
  <Words>6313</Words>
  <Characters>6955</Characters>
  <Lines>54</Lines>
  <Paragraphs>15</Paragraphs>
  <TotalTime>4</TotalTime>
  <ScaleCrop>false</ScaleCrop>
  <LinksUpToDate>false</LinksUpToDate>
  <CharactersWithSpaces>7070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2026-08-29T10:32:00Z</dcterms:created>
  <dc:creator>郑淑坤</dc:creator>
  <cp:lastModifiedBy>赵佳莉</cp:lastModifiedBy>
  <cp:lastPrinted>2026-09-20T06:11:00Z</cp:lastPrinted>
  <dcterms:modified xsi:type="dcterms:W3CDTF">2026-09-30T03:38:12Z</dcterms:modified>
  <cp:revision>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eyJoZGlkIjoiNTU2MzdkMTAwM2Q2ODhiN2FiZmQ4N2RjNWJiNzUwMGMiLCJ1c2VySWQiOiI0NTkwMDgyNjAifQ==</vt:lpwstr>
  </property>
  <property fmtid="{D5CDD505-2E9C-101B-9397-08002B2CF9AE}" pid="3" name="KSOProductBuildVer">
    <vt:lpwstr>2052-12.1.0.28488</vt:lpwstr>
  </property>
  <property fmtid="{D5CDD505-2E9C-101B-9397-08002B2CF9AE}" pid="4" name="ICV">
    <vt:lpwstr>4D8A89D5E82E41F9ADDC930BCE60DAE7_13</vt:lpwstr>
  </property>
</Properties>
</file>