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C1E9C">
      <w:pPr>
        <w:jc w:val="center"/>
        <w:rPr>
          <w:rFonts w:ascii="方正小标宋简体" w:eastAsia="方正小标宋简体"/>
          <w:sz w:val="40"/>
          <w:szCs w:val="40"/>
        </w:rPr>
      </w:pPr>
      <w:bookmarkStart w:id="3" w:name="_GoBack"/>
      <w:bookmarkEnd w:id="3"/>
      <w:r>
        <w:rPr>
          <w:rFonts w:hint="eastAsia" w:ascii="方正小标宋简体" w:eastAsia="方正小标宋简体"/>
          <w:sz w:val="40"/>
          <w:szCs w:val="40"/>
        </w:rPr>
        <w:t>《食品低温配送中心规划设计指南》国家标准</w:t>
      </w:r>
    </w:p>
    <w:p w14:paraId="7D597EF2">
      <w:pPr>
        <w:jc w:val="center"/>
        <w:rPr>
          <w:rFonts w:ascii="方正小标宋简体" w:eastAsia="方正小标宋简体"/>
          <w:sz w:val="40"/>
          <w:szCs w:val="40"/>
        </w:rPr>
      </w:pPr>
      <w:r>
        <w:rPr>
          <w:rFonts w:hint="eastAsia" w:ascii="方正小标宋简体" w:eastAsia="方正小标宋简体"/>
          <w:sz w:val="40"/>
          <w:szCs w:val="40"/>
        </w:rPr>
        <w:t>（征求意见稿）编制说明</w:t>
      </w:r>
    </w:p>
    <w:p w14:paraId="48C99022"/>
    <w:p w14:paraId="77AB354D">
      <w:pPr>
        <w:outlineLvl w:val="0"/>
        <w:rPr>
          <w:rFonts w:hint="eastAsia" w:ascii="黑体" w:hAnsi="黑体" w:eastAsia="黑体" w:cs="黑体"/>
          <w:sz w:val="32"/>
          <w:szCs w:val="32"/>
        </w:rPr>
      </w:pPr>
      <w:r>
        <w:rPr>
          <w:rFonts w:hint="eastAsia" w:ascii="黑体" w:hAnsi="黑体" w:eastAsia="黑体" w:cs="黑体"/>
          <w:sz w:val="32"/>
          <w:szCs w:val="32"/>
        </w:rPr>
        <w:t>一、工作简况</w:t>
      </w:r>
    </w:p>
    <w:p w14:paraId="7E28B9B7">
      <w:pPr>
        <w:ind w:firstLine="643" w:firstLineChars="200"/>
        <w:outlineLvl w:val="1"/>
        <w:rPr>
          <w:b/>
          <w:bCs/>
          <w:sz w:val="32"/>
          <w:szCs w:val="32"/>
        </w:rPr>
      </w:pPr>
      <w:r>
        <w:rPr>
          <w:rFonts w:hint="eastAsia"/>
          <w:b/>
          <w:bCs/>
          <w:sz w:val="32"/>
          <w:szCs w:val="32"/>
        </w:rPr>
        <w:t>（一）任务来源</w:t>
      </w:r>
    </w:p>
    <w:p w14:paraId="46D43CEE">
      <w:pPr>
        <w:ind w:firstLine="640" w:firstLineChars="200"/>
        <w:rPr>
          <w:rFonts w:ascii="Times New Roman" w:hAnsi="Times New Roman" w:eastAsia="宋体"/>
          <w:sz w:val="32"/>
          <w:szCs w:val="32"/>
        </w:rPr>
      </w:pPr>
      <w:r>
        <w:rPr>
          <w:rFonts w:ascii="Times New Roman" w:hAnsi="Times New Roman" w:eastAsia="宋体"/>
          <w:sz w:val="32"/>
          <w:szCs w:val="32"/>
        </w:rPr>
        <w:t>202</w:t>
      </w:r>
      <w:r>
        <w:rPr>
          <w:rFonts w:hint="eastAsia" w:ascii="Times New Roman" w:hAnsi="Times New Roman" w:eastAsia="宋体"/>
          <w:sz w:val="32"/>
          <w:szCs w:val="32"/>
        </w:rPr>
        <w:t>6年3月31日，国家标准委下达了2026年第三批推荐性国家标准计划和相关推荐性国家标准外文计划，推荐性国家标准《食品低温配送中心规划设计指南》修订项目获批立项，计划号为</w:t>
      </w:r>
      <w:r>
        <w:rPr>
          <w:rFonts w:ascii="Times New Roman" w:hAnsi="Times New Roman" w:eastAsia="宋体"/>
          <w:sz w:val="32"/>
          <w:szCs w:val="32"/>
        </w:rPr>
        <w:t>20261888-T-602</w:t>
      </w:r>
      <w:r>
        <w:rPr>
          <w:rFonts w:hint="eastAsia" w:ascii="Times New Roman" w:hAnsi="Times New Roman" w:eastAsia="宋体"/>
          <w:sz w:val="32"/>
          <w:szCs w:val="32"/>
        </w:rPr>
        <w:t>，项目周期为16个月。</w:t>
      </w:r>
    </w:p>
    <w:p w14:paraId="4B44463A">
      <w:pPr>
        <w:ind w:firstLine="640" w:firstLineChars="200"/>
        <w:rPr>
          <w:rFonts w:ascii="Times New Roman" w:hAnsi="Times New Roman" w:eastAsia="宋体"/>
          <w:sz w:val="32"/>
          <w:szCs w:val="32"/>
        </w:rPr>
      </w:pPr>
      <w:r>
        <w:rPr>
          <w:rFonts w:hint="eastAsia" w:ascii="Times New Roman" w:hAnsi="Times New Roman" w:eastAsia="宋体"/>
          <w:sz w:val="32"/>
          <w:szCs w:val="32"/>
        </w:rPr>
        <w:t>本标准代替GB/T 38375—2019《食品低温配送中心规划设计指南》，</w:t>
      </w:r>
      <w:r>
        <w:rPr>
          <w:rFonts w:hint="eastAsia" w:ascii="宋体" w:hAnsi="宋体" w:eastAsia="宋体" w:cs="宋体"/>
          <w:color w:val="000000" w:themeColor="text1"/>
          <w:sz w:val="32"/>
          <w:szCs w:val="32"/>
          <w14:textFill>
            <w14:solidFill>
              <w14:schemeClr w14:val="tx1"/>
            </w14:solidFill>
          </w14:textFill>
        </w:rPr>
        <w:t>由中国物流与采购联合会提出，由全国物流标准化技术委员会（简称“全国物标委”）归口，由全国物流标准化技术委员会冷链物流分技术委员会（简称“</w:t>
      </w:r>
      <w:bookmarkStart w:id="0" w:name="_Hlk238568219"/>
      <w:r>
        <w:rPr>
          <w:rFonts w:hint="eastAsia" w:ascii="宋体" w:hAnsi="宋体" w:eastAsia="宋体" w:cs="宋体"/>
          <w:color w:val="000000" w:themeColor="text1"/>
          <w:sz w:val="32"/>
          <w:szCs w:val="32"/>
          <w14:textFill>
            <w14:solidFill>
              <w14:schemeClr w14:val="tx1"/>
            </w14:solidFill>
          </w14:textFill>
        </w:rPr>
        <w:t>冷标委</w:t>
      </w:r>
      <w:bookmarkEnd w:id="0"/>
      <w:r>
        <w:rPr>
          <w:rFonts w:hint="eastAsia" w:ascii="宋体" w:hAnsi="宋体" w:eastAsia="宋体" w:cs="宋体"/>
          <w:color w:val="000000" w:themeColor="text1"/>
          <w:sz w:val="32"/>
          <w:szCs w:val="32"/>
          <w14:textFill>
            <w14:solidFill>
              <w14:schemeClr w14:val="tx1"/>
            </w14:solidFill>
          </w14:textFill>
        </w:rPr>
        <w:t>”）执行</w:t>
      </w:r>
      <w:r>
        <w:rPr>
          <w:rFonts w:hint="eastAsia" w:ascii="Times New Roman" w:hAnsi="Times New Roman" w:eastAsia="宋体"/>
          <w:sz w:val="32"/>
          <w:szCs w:val="32"/>
        </w:rPr>
        <w:t>。中国仓储与配送协会、上海冷链协会、北京时代商联供应链科技有限公司、机械工业第六设计研究院有限公司等单位共同承担本标准修订工作。</w:t>
      </w:r>
    </w:p>
    <w:p w14:paraId="7B698D4D">
      <w:pPr>
        <w:ind w:firstLine="643" w:firstLineChars="200"/>
        <w:outlineLvl w:val="1"/>
        <w:rPr>
          <w:b/>
          <w:bCs/>
          <w:sz w:val="32"/>
          <w:szCs w:val="32"/>
        </w:rPr>
      </w:pPr>
      <w:r>
        <w:rPr>
          <w:rFonts w:hint="eastAsia"/>
          <w:b/>
          <w:bCs/>
          <w:sz w:val="32"/>
          <w:szCs w:val="32"/>
        </w:rPr>
        <w:t>（二）修订背景</w:t>
      </w:r>
    </w:p>
    <w:p w14:paraId="27ED42A5">
      <w:pPr>
        <w:ind w:firstLine="640" w:firstLineChars="200"/>
        <w:rPr>
          <w:rFonts w:ascii="Times New Roman" w:hAnsi="Times New Roman"/>
          <w:sz w:val="32"/>
          <w:szCs w:val="32"/>
        </w:rPr>
      </w:pPr>
      <w:r>
        <w:rPr>
          <w:rFonts w:hint="eastAsia" w:ascii="Times New Roman" w:hAnsi="Times New Roman"/>
          <w:sz w:val="32"/>
          <w:szCs w:val="32"/>
        </w:rPr>
        <w:t>GB/T 38375—2019自2020年7月1日实施以来，对指导食品低温配送中心规划设计、规范冷链物流设施建设、保障食品流通过程中的质量安全发挥了积极作用。原标准规定了总体原则、规划设计、主体建筑、核心功能区、道路及动线、作业设备选用和信息化管理等内容，填补了食品低温配送中心规划设计领域的标准空白，为相关单位开展低温配送中心新建、改建和扩建提供了技术参考。</w:t>
      </w:r>
    </w:p>
    <w:p w14:paraId="4CA04396">
      <w:pPr>
        <w:ind w:firstLine="640" w:firstLineChars="200"/>
        <w:rPr>
          <w:rFonts w:ascii="Times New Roman" w:hAnsi="Times New Roman"/>
          <w:sz w:val="32"/>
          <w:szCs w:val="32"/>
        </w:rPr>
      </w:pPr>
      <w:r>
        <w:rPr>
          <w:rFonts w:hint="eastAsia" w:ascii="Times New Roman" w:hAnsi="Times New Roman"/>
          <w:sz w:val="32"/>
          <w:szCs w:val="32"/>
        </w:rPr>
        <w:t>近年来，我国冷链物流产业持续发展，食品低温配送中心的功能定位、运营模式、技术装备和管理要求发生了较大变化。一是低温配送中心由以仓储、分拨为主的传统设施，逐步向集预冷、仓储、分拣、流通加工、检测、配送、信息管理等功能于一体的综合性节点转变。二是自动化立体库、四向穿梭车密集库、自动导引车（AGV）、自主移动机器人（AMR）、仓储管理系统（WMS）、仓储控制系统（WCS）、物联网温湿度监测等技术装备和信息系统应用日益广泛，对规划设计阶段的物流工艺、建筑空间、自动化设备、信息系统协同设计提出了新的要求。三是在绿色低碳发展背景下，冷库及低温配送中心的节地、节材、节水、节能、制冷工艺优化、能源回收、绿色包装和智慧能源管理等内容需要进一步明确。四是食品安全、安全生产、卫生管理、应急保障和全过程追溯等要求不断提高，需要在规划设计阶段统筹考虑温控系统、作业流程、异常品处置、清洁消毒、备用供电和信息化管理等因素。</w:t>
      </w:r>
    </w:p>
    <w:p w14:paraId="5EC21493">
      <w:pPr>
        <w:ind w:firstLine="640" w:firstLineChars="200"/>
        <w:rPr>
          <w:rFonts w:ascii="Times New Roman" w:hAnsi="Times New Roman"/>
          <w:sz w:val="32"/>
          <w:szCs w:val="32"/>
        </w:rPr>
      </w:pPr>
      <w:r>
        <w:rPr>
          <w:rFonts w:hint="eastAsia" w:ascii="Times New Roman" w:hAnsi="Times New Roman"/>
          <w:sz w:val="32"/>
          <w:szCs w:val="32"/>
        </w:rPr>
        <w:t>同时，原标准部分规范性引用文件已修订，GB 50072—2010《冷库设计规范》已修订为GB 50072—2021《冷库设计标准》，GB/T 28581—2012《通用仓库及库区规划设计参数》已修订为GB/T 28581—2021《通用仓库及库区规划设计参数》。GB 50072—2021《冷库设计标准》增加了有关装配式冷库、二氧化碳为制冷剂的亚临界蒸汽压缩直接式制冷系统和二氧化碳、盐水等为载冷剂的间接式制冷系统的工程设计要求；修订了冷库冷藏间的最大允许总占地面积和每个防火分区内冷藏间最大允许建筑面积的标准，增加了高层冷库消防扑救的要求，增加了冷库保温隔热材料的耐火极限及防火构造要求；增加了有关制冷系统规模的规定，有关制冷剂、载冷剂和制冷系统形式等选择的规定，有关制冷系统自动监测与控制的内容。GB/T 28581—2021《通用仓库及库区规划设计参数》删除了关于库区选址的要求；更改了库区布局规划的基本要求，补充了在库区布局中应考虑的因素；增加了库区布局规划中库外装卸作业区关于作业照明的要求；增加了库区布局规划中关于停车场、配套设施、办公区（生活区）的相关要求；删除了库区功能区；增加了库区防灾的相关要求；增加了关于仓库设计的基本要求；增加了仓库设计参数与结构中关于结构形式、防火分区、尾板插槽和电梯等的要求；删除了关于仓库最小面积的要求；增加了库区相关设施中关于库区与仓库照明、仓库温湿度与空气调节的相关要求；增加了库区标志及标线规划设计的相关内容；增加了信息化规划设计方面的相关要求。因此，有必要结合行业发展、技术进步和相关基础标准变化，对GB/T 38375—2019进行修订，以进一步提升标准的适用性、先进性和可操作性。</w:t>
      </w:r>
    </w:p>
    <w:p w14:paraId="29FF2EA1">
      <w:pPr>
        <w:ind w:firstLine="643" w:firstLineChars="200"/>
        <w:outlineLvl w:val="1"/>
        <w:rPr>
          <w:b/>
          <w:bCs/>
          <w:sz w:val="32"/>
          <w:szCs w:val="32"/>
        </w:rPr>
      </w:pPr>
      <w:r>
        <w:rPr>
          <w:rFonts w:hint="eastAsia"/>
          <w:b/>
          <w:bCs/>
          <w:sz w:val="32"/>
          <w:szCs w:val="32"/>
        </w:rPr>
        <w:t>（三）主要起草过程</w:t>
      </w:r>
    </w:p>
    <w:p w14:paraId="6134DB80">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1. 预研阶段</w:t>
      </w:r>
    </w:p>
    <w:p w14:paraId="748051BF">
      <w:pPr>
        <w:ind w:firstLine="640" w:firstLineChars="200"/>
        <w:rPr>
          <w:rFonts w:ascii="Times New Roman" w:hAnsi="Times New Roman"/>
          <w:sz w:val="32"/>
          <w:szCs w:val="32"/>
        </w:rPr>
      </w:pPr>
      <w:r>
        <w:rPr>
          <w:rFonts w:hint="eastAsia" w:ascii="Times New Roman" w:hAnsi="Times New Roman"/>
          <w:sz w:val="32"/>
          <w:szCs w:val="32"/>
        </w:rPr>
        <w:t>项目申报前，相关单位围绕食品低温配送中心规划设计的实际需求，对原标准实施情况、冷链物流设施建设现状、低温配送中心功能演变、自动化和数字化技术应用、绿色低碳发展要求等进行了研究和梳理。</w:t>
      </w:r>
    </w:p>
    <w:p w14:paraId="4BB91F65">
      <w:pPr>
        <w:ind w:firstLine="640" w:firstLineChars="200"/>
        <w:rPr>
          <w:rFonts w:ascii="Times New Roman" w:hAnsi="Times New Roman"/>
          <w:sz w:val="32"/>
          <w:szCs w:val="32"/>
        </w:rPr>
      </w:pPr>
      <w:r>
        <w:rPr>
          <w:rFonts w:hint="eastAsia" w:ascii="Times New Roman" w:hAnsi="Times New Roman"/>
          <w:sz w:val="32"/>
          <w:szCs w:val="32"/>
        </w:rPr>
        <w:t>前期研究认为，原标准对食品低温配送中心建设具有较好的指导作用，但在温控系统规划、流程规划、节能与环保、安全与卫生、智能控制与追溯管理等方面需要进一步完善；同时，随着自动化仓储、智能搬运、智慧能源和信息追溯等技术的应用推广，原标准有关设施设备和信息化管理的内容需相应更新。</w:t>
      </w:r>
    </w:p>
    <w:p w14:paraId="17F64FB8">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2. 立项阶段</w:t>
      </w:r>
    </w:p>
    <w:p w14:paraId="0CF52F0B">
      <w:pPr>
        <w:ind w:firstLine="640" w:firstLineChars="200"/>
        <w:rPr>
          <w:rFonts w:ascii="Times New Roman" w:hAnsi="Times New Roman"/>
          <w:sz w:val="32"/>
          <w:szCs w:val="32"/>
        </w:rPr>
      </w:pPr>
      <w:r>
        <w:rPr>
          <w:rFonts w:hint="eastAsia" w:ascii="Times New Roman" w:hAnsi="Times New Roman"/>
          <w:sz w:val="32"/>
          <w:szCs w:val="32"/>
        </w:rPr>
        <w:t>在前期调研和论证基础上，起草单位形成国家标准项目建议书和项目申报书，明确标准修订的必要性、可行性、适用范围、主要技术内容、国内外标准情况、与法律法规和强制性标准的关系以及项目进度安排等。</w:t>
      </w:r>
    </w:p>
    <w:p w14:paraId="50A39C6E">
      <w:pPr>
        <w:ind w:firstLine="640" w:firstLineChars="200"/>
        <w:rPr>
          <w:rFonts w:ascii="Times New Roman" w:hAnsi="Times New Roman"/>
          <w:sz w:val="32"/>
          <w:szCs w:val="32"/>
        </w:rPr>
      </w:pPr>
      <w:r>
        <w:rPr>
          <w:rFonts w:hint="eastAsia" w:ascii="Times New Roman" w:hAnsi="Times New Roman"/>
          <w:sz w:val="32"/>
          <w:szCs w:val="32"/>
        </w:rPr>
        <w:t>2026年3月31日，本修订项目获批立项。项目立项后，起草单位根据国家标准制修订工作要求，进一步明确了标准修订的总体思路和重点内容，即在保持原标准基本框架和适用范围的基础上，突出食品安全、温度控制、作业效率、安全生产、绿色低碳、数字化与智能化等方面要求。</w:t>
      </w:r>
    </w:p>
    <w:p w14:paraId="2FB519B4">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3. 起草阶段</w:t>
      </w:r>
    </w:p>
    <w:p w14:paraId="25E451F6">
      <w:pPr>
        <w:ind w:firstLine="640" w:firstLineChars="200"/>
        <w:rPr>
          <w:rFonts w:ascii="Times New Roman" w:hAnsi="Times New Roman"/>
          <w:sz w:val="32"/>
          <w:szCs w:val="32"/>
        </w:rPr>
      </w:pPr>
      <w:r>
        <w:rPr>
          <w:rFonts w:ascii="Times New Roman" w:hAnsi="Times New Roman"/>
          <w:sz w:val="32"/>
          <w:szCs w:val="32"/>
        </w:rPr>
        <w:t>2026年</w:t>
      </w:r>
      <w:r>
        <w:rPr>
          <w:rFonts w:hint="eastAsia" w:ascii="Times New Roman" w:hAnsi="Times New Roman"/>
          <w:sz w:val="32"/>
          <w:szCs w:val="32"/>
          <w:lang w:val="en-US" w:eastAsia="zh-CN"/>
        </w:rPr>
        <w:t>4</w:t>
      </w:r>
      <w:r>
        <w:rPr>
          <w:rFonts w:ascii="Times New Roman" w:hAnsi="Times New Roman"/>
          <w:sz w:val="32"/>
          <w:szCs w:val="32"/>
        </w:rPr>
        <w:t>月—</w:t>
      </w:r>
      <w:r>
        <w:rPr>
          <w:rFonts w:hint="eastAsia" w:ascii="Times New Roman" w:hAnsi="Times New Roman"/>
          <w:sz w:val="32"/>
          <w:szCs w:val="32"/>
          <w:lang w:val="en-US" w:eastAsia="zh-CN"/>
        </w:rPr>
        <w:t>6月</w:t>
      </w:r>
      <w:r>
        <w:rPr>
          <w:rFonts w:ascii="Times New Roman" w:hAnsi="Times New Roman"/>
          <w:sz w:val="32"/>
          <w:szCs w:val="32"/>
        </w:rPr>
        <w:t>，</w:t>
      </w:r>
      <w:r>
        <w:rPr>
          <w:rFonts w:hint="eastAsia" w:ascii="Times New Roman" w:hAnsi="Times New Roman"/>
          <w:sz w:val="32"/>
          <w:szCs w:val="32"/>
        </w:rPr>
        <w:t>中国仓储与配送协会</w:t>
      </w:r>
      <w:r>
        <w:rPr>
          <w:rFonts w:hint="eastAsia" w:ascii="Times New Roman" w:hAnsi="Times New Roman"/>
          <w:sz w:val="32"/>
          <w:szCs w:val="32"/>
          <w:lang w:val="en-US" w:eastAsia="zh-CN"/>
        </w:rPr>
        <w:t>组织筹建</w:t>
      </w:r>
      <w:r>
        <w:rPr>
          <w:rFonts w:hint="eastAsia" w:ascii="Times New Roman" w:hAnsi="Times New Roman"/>
          <w:sz w:val="32"/>
          <w:szCs w:val="32"/>
        </w:rPr>
        <w:t>标准起草组。</w:t>
      </w:r>
      <w:r>
        <w:rPr>
          <w:rFonts w:hint="eastAsia" w:ascii="Times New Roman" w:hAnsi="Times New Roman"/>
          <w:sz w:val="32"/>
          <w:szCs w:val="32"/>
          <w:lang w:val="en-US" w:eastAsia="zh-CN"/>
        </w:rPr>
        <w:t>期间，</w:t>
      </w:r>
      <w:r>
        <w:rPr>
          <w:rFonts w:ascii="Times New Roman" w:hAnsi="Times New Roman"/>
          <w:sz w:val="32"/>
          <w:szCs w:val="32"/>
        </w:rPr>
        <w:t>起草组系统梳理了GB/T 38375—2019的实施情况，重点研究了食品低温配送中心在功能定位、设施配置、温控保障、自动化作业、能源利用、食品安全和信息化管理等方面的发展变化；同时，对冷库设计、物流建筑、食品冷链物流卫生、食品冷链追溯、仓储设备术语、通用仓库及库区规划设计参数等相关国家标准进行了比对分析，并结合食品低温配送中心建设、运营和改扩建项目实践，形成标准草案。</w:t>
      </w:r>
    </w:p>
    <w:p w14:paraId="1D5E8325">
      <w:pPr>
        <w:ind w:firstLine="640" w:firstLineChars="200"/>
        <w:rPr>
          <w:rFonts w:ascii="Times New Roman" w:hAnsi="Times New Roman"/>
          <w:sz w:val="32"/>
          <w:szCs w:val="32"/>
        </w:rPr>
      </w:pPr>
      <w:r>
        <w:rPr>
          <w:rFonts w:ascii="Times New Roman" w:hAnsi="Times New Roman"/>
          <w:sz w:val="32"/>
          <w:szCs w:val="32"/>
        </w:rPr>
        <w:t>2026年6月24日</w:t>
      </w:r>
      <w:r>
        <w:rPr>
          <w:rFonts w:hint="eastAsia" w:ascii="Times New Roman" w:hAnsi="Times New Roman"/>
          <w:sz w:val="32"/>
          <w:szCs w:val="32"/>
          <w:lang w:eastAsia="zh-CN"/>
        </w:rPr>
        <w:t>，</w:t>
      </w:r>
      <w:r>
        <w:rPr>
          <w:rFonts w:ascii="Times New Roman" w:hAnsi="Times New Roman"/>
          <w:sz w:val="32"/>
          <w:szCs w:val="32"/>
        </w:rPr>
        <w:t>起草组在长沙召开第一次起草组工作会议，明确了起草工作分工、调研重点和工作进度，并围绕标准框架、核心功能区、温控系统、节能环保、安全卫生和信息化等内容进行了专题研讨。</w:t>
      </w:r>
      <w:bookmarkStart w:id="1" w:name="_Hlk238927753"/>
      <w:r>
        <w:rPr>
          <w:rFonts w:hint="eastAsia" w:ascii="Times New Roman" w:hAnsi="Times New Roman"/>
          <w:sz w:val="32"/>
          <w:szCs w:val="32"/>
        </w:rPr>
        <w:t>会后形成工作组讨论稿。</w:t>
      </w:r>
      <w:bookmarkEnd w:id="1"/>
    </w:p>
    <w:p w14:paraId="46B3D714">
      <w:pPr>
        <w:ind w:firstLine="640" w:firstLineChars="200"/>
        <w:rPr>
          <w:rFonts w:ascii="Times New Roman" w:hAnsi="Times New Roman"/>
          <w:sz w:val="32"/>
          <w:szCs w:val="32"/>
        </w:rPr>
      </w:pPr>
      <w:r>
        <w:rPr>
          <w:rFonts w:ascii="Times New Roman" w:hAnsi="Times New Roman"/>
          <w:sz w:val="32"/>
          <w:szCs w:val="32"/>
        </w:rPr>
        <w:t>2026年8月4日，中国仓储与配送协会在北京组织召开标准修订专题讨论会。会议围绕标准修订总体进展、框架调整、主体设施与功能区关系、温控系统、道路及动线、作业设备、能源与节能环保、安全与卫生、信息化与智能化等内容进行了逐条讨论。会议对取消独立</w:t>
      </w:r>
      <w:r>
        <w:rPr>
          <w:rFonts w:hint="eastAsia" w:ascii="Times New Roman" w:hAnsi="Times New Roman"/>
          <w:sz w:val="32"/>
          <w:szCs w:val="32"/>
        </w:rPr>
        <w:t>“</w:t>
      </w:r>
      <w:r>
        <w:rPr>
          <w:rFonts w:ascii="Times New Roman" w:hAnsi="Times New Roman"/>
          <w:sz w:val="32"/>
          <w:szCs w:val="32"/>
        </w:rPr>
        <w:t>流程规划</w:t>
      </w:r>
      <w:r>
        <w:rPr>
          <w:rFonts w:hint="eastAsia" w:ascii="Times New Roman" w:hAnsi="Times New Roman"/>
          <w:sz w:val="32"/>
          <w:szCs w:val="32"/>
        </w:rPr>
        <w:t>”</w:t>
      </w:r>
      <w:r>
        <w:rPr>
          <w:rFonts w:ascii="Times New Roman" w:hAnsi="Times New Roman"/>
          <w:sz w:val="32"/>
          <w:szCs w:val="32"/>
        </w:rPr>
        <w:t>章节、增加</w:t>
      </w:r>
      <w:r>
        <w:rPr>
          <w:rFonts w:hint="eastAsia" w:ascii="Times New Roman" w:hAnsi="Times New Roman"/>
          <w:sz w:val="32"/>
          <w:szCs w:val="32"/>
        </w:rPr>
        <w:t>“</w:t>
      </w:r>
      <w:r>
        <w:rPr>
          <w:rFonts w:ascii="Times New Roman" w:hAnsi="Times New Roman"/>
          <w:sz w:val="32"/>
          <w:szCs w:val="32"/>
        </w:rPr>
        <w:t>能源规划</w:t>
      </w:r>
      <w:r>
        <w:rPr>
          <w:rFonts w:hint="eastAsia" w:ascii="Times New Roman" w:hAnsi="Times New Roman"/>
          <w:sz w:val="32"/>
          <w:szCs w:val="32"/>
        </w:rPr>
        <w:t>”</w:t>
      </w:r>
      <w:r>
        <w:rPr>
          <w:rFonts w:ascii="Times New Roman" w:hAnsi="Times New Roman"/>
          <w:sz w:val="32"/>
          <w:szCs w:val="32"/>
        </w:rPr>
        <w:t>内容、优化不良品和退货食品暂存要求、调整</w:t>
      </w:r>
      <w:r>
        <w:rPr>
          <w:rFonts w:hint="eastAsia" w:ascii="Times New Roman" w:hAnsi="Times New Roman"/>
          <w:sz w:val="32"/>
          <w:szCs w:val="32"/>
        </w:rPr>
        <w:t>“</w:t>
      </w:r>
      <w:r>
        <w:rPr>
          <w:rFonts w:ascii="Times New Roman" w:hAnsi="Times New Roman"/>
          <w:sz w:val="32"/>
          <w:szCs w:val="32"/>
        </w:rPr>
        <w:t>封闭低温站台</w:t>
      </w:r>
      <w:r>
        <w:rPr>
          <w:rFonts w:hint="eastAsia" w:ascii="Times New Roman" w:hAnsi="Times New Roman"/>
          <w:sz w:val="32"/>
          <w:szCs w:val="32"/>
        </w:rPr>
        <w:t>”</w:t>
      </w:r>
      <w:r>
        <w:rPr>
          <w:rFonts w:ascii="Times New Roman" w:hAnsi="Times New Roman"/>
          <w:sz w:val="32"/>
          <w:szCs w:val="32"/>
        </w:rPr>
        <w:t>术语、采用GB/T 28577有关温区划分原则、直接引用GB/T 18354中</w:t>
      </w:r>
      <w:r>
        <w:rPr>
          <w:rFonts w:hint="eastAsia" w:ascii="Times New Roman" w:hAnsi="Times New Roman"/>
          <w:sz w:val="32"/>
          <w:szCs w:val="32"/>
        </w:rPr>
        <w:t>“</w:t>
      </w:r>
      <w:r>
        <w:rPr>
          <w:rFonts w:ascii="Times New Roman" w:hAnsi="Times New Roman"/>
          <w:sz w:val="32"/>
          <w:szCs w:val="32"/>
        </w:rPr>
        <w:t>流通加工</w:t>
      </w:r>
      <w:r>
        <w:rPr>
          <w:rFonts w:hint="eastAsia" w:ascii="Times New Roman" w:hAnsi="Times New Roman"/>
          <w:sz w:val="32"/>
          <w:szCs w:val="32"/>
        </w:rPr>
        <w:t>”</w:t>
      </w:r>
      <w:r>
        <w:rPr>
          <w:rFonts w:ascii="Times New Roman" w:hAnsi="Times New Roman"/>
          <w:sz w:val="32"/>
          <w:szCs w:val="32"/>
        </w:rPr>
        <w:t>定义、删除冷库施工及验收相关引用等事项形成了初步共识。会后，起草组根据会议意见对标准文本和编制说明进行了修改完善</w:t>
      </w:r>
      <w:r>
        <w:rPr>
          <w:rFonts w:hint="eastAsia" w:ascii="Times New Roman" w:hAnsi="Times New Roman"/>
          <w:sz w:val="32"/>
          <w:szCs w:val="32"/>
        </w:rPr>
        <w:t>，形成了征求意见稿。</w:t>
      </w:r>
    </w:p>
    <w:p w14:paraId="3984545E">
      <w:pPr>
        <w:ind w:firstLine="640" w:firstLineChars="200"/>
        <w:rPr>
          <w:rFonts w:ascii="Times New Roman" w:hAnsi="Times New Roman"/>
          <w:sz w:val="32"/>
          <w:szCs w:val="32"/>
        </w:rPr>
      </w:pPr>
      <w:r>
        <w:rPr>
          <w:rFonts w:hint="eastAsia" w:ascii="Times New Roman" w:hAnsi="Times New Roman"/>
          <w:sz w:val="32"/>
          <w:szCs w:val="32"/>
        </w:rPr>
        <w:t>2026年8月14日，向</w:t>
      </w:r>
      <w:r>
        <w:rPr>
          <w:rFonts w:hint="eastAsia" w:ascii="宋体" w:hAnsi="宋体" w:cs="宋体"/>
          <w:color w:val="000000"/>
          <w:sz w:val="32"/>
          <w:szCs w:val="32"/>
        </w:rPr>
        <w:t>冷标委</w:t>
      </w:r>
      <w:r>
        <w:rPr>
          <w:rFonts w:hint="eastAsia" w:ascii="Times New Roman" w:hAnsi="Times New Roman"/>
          <w:sz w:val="32"/>
          <w:szCs w:val="32"/>
        </w:rPr>
        <w:t>提交了征求提交征求意见稿及相关材料。</w:t>
      </w:r>
    </w:p>
    <w:p w14:paraId="3DAC9D4C">
      <w:pPr>
        <w:ind w:firstLine="643" w:firstLineChars="200"/>
        <w:outlineLvl w:val="1"/>
        <w:rPr>
          <w:b/>
          <w:bCs/>
          <w:sz w:val="32"/>
          <w:szCs w:val="32"/>
        </w:rPr>
      </w:pPr>
      <w:r>
        <w:rPr>
          <w:rFonts w:hint="eastAsia"/>
          <w:b/>
          <w:bCs/>
          <w:sz w:val="32"/>
          <w:szCs w:val="32"/>
        </w:rPr>
        <w:t>（四）起草单位、主要起草人及其所做的工作</w:t>
      </w:r>
    </w:p>
    <w:p w14:paraId="599BDA06">
      <w:pPr>
        <w:ind w:firstLine="640" w:firstLineChars="200"/>
        <w:rPr>
          <w:rFonts w:ascii="Times New Roman" w:hAnsi="Times New Roman"/>
          <w:sz w:val="32"/>
          <w:szCs w:val="32"/>
        </w:rPr>
      </w:pPr>
      <w:r>
        <w:rPr>
          <w:rFonts w:ascii="Times New Roman" w:hAnsi="Times New Roman"/>
          <w:sz w:val="32"/>
          <w:szCs w:val="32"/>
        </w:rPr>
        <w:t>本标准由中国仓储与配送协会、上海冷链协会、北京时代商联供应链科技有限公司、机械工业第六设计研究院有限公司等单位共同起草</w:t>
      </w:r>
      <w:r>
        <w:rPr>
          <w:rFonts w:hint="eastAsia" w:ascii="Times New Roman" w:hAnsi="Times New Roman"/>
          <w:sz w:val="32"/>
          <w:szCs w:val="32"/>
        </w:rPr>
        <w:t>，具体分工见表1</w:t>
      </w:r>
      <w:r>
        <w:rPr>
          <w:rFonts w:ascii="Times New Roman" w:hAnsi="Times New Roman"/>
          <w:sz w:val="32"/>
          <w:szCs w:val="32"/>
        </w:rPr>
        <w:t>。</w:t>
      </w:r>
    </w:p>
    <w:p w14:paraId="5C14B379">
      <w:pPr>
        <w:jc w:val="center"/>
        <w:rPr>
          <w:rFonts w:ascii="Times New Roman" w:hAnsi="Times New Roman"/>
          <w:sz w:val="32"/>
          <w:szCs w:val="32"/>
        </w:rPr>
      </w:pPr>
      <w:r>
        <w:rPr>
          <w:rFonts w:hint="eastAsia" w:ascii="Times New Roman" w:hAnsi="Times New Roman"/>
          <w:sz w:val="32"/>
          <w:szCs w:val="32"/>
        </w:rPr>
        <w:t>表1 标准起草组分工</w:t>
      </w:r>
    </w:p>
    <w:tbl>
      <w:tblPr>
        <w:tblStyle w:val="13"/>
        <w:tblW w:w="0" w:type="auto"/>
        <w:tblInd w:w="0" w:type="dxa"/>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Layout w:type="autofit"/>
        <w:tblCellMar>
          <w:top w:w="0" w:type="dxa"/>
          <w:left w:w="108" w:type="dxa"/>
          <w:bottom w:w="0" w:type="dxa"/>
          <w:right w:w="108" w:type="dxa"/>
        </w:tblCellMar>
      </w:tblPr>
      <w:tblGrid>
        <w:gridCol w:w="846"/>
        <w:gridCol w:w="1845"/>
        <w:gridCol w:w="1646"/>
        <w:gridCol w:w="3959"/>
      </w:tblGrid>
      <w:tr w14:paraId="5DEC1DFF">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608" w:hRule="atLeast"/>
        </w:trPr>
        <w:tc>
          <w:tcPr>
            <w:tcW w:w="846" w:type="dxa"/>
            <w:tcBorders>
              <w:bottom w:val="single" w:color="8EAADB" w:themeColor="accent5" w:themeTint="99" w:sz="12" w:space="0"/>
              <w:insideH w:val="single" w:sz="12" w:space="0"/>
            </w:tcBorders>
            <w:vAlign w:val="center"/>
          </w:tcPr>
          <w:p w14:paraId="5CDAC2EB">
            <w:pPr>
              <w:adjustRightInd w:val="0"/>
              <w:snapToGrid w:val="0"/>
              <w:jc w:val="center"/>
              <w:rPr>
                <w:rFonts w:hint="eastAsia" w:ascii="宋体" w:hAnsi="宋体" w:eastAsia="宋体" w:cs="宋体"/>
                <w:b/>
                <w:bCs/>
                <w:sz w:val="28"/>
                <w:szCs w:val="28"/>
              </w:rPr>
            </w:pPr>
            <w:r>
              <w:rPr>
                <w:rFonts w:hint="eastAsia" w:ascii="宋体" w:hAnsi="宋体" w:eastAsia="宋体" w:cs="宋体"/>
                <w:b/>
                <w:bCs/>
                <w:sz w:val="28"/>
                <w:szCs w:val="28"/>
              </w:rPr>
              <w:t>序号</w:t>
            </w:r>
          </w:p>
        </w:tc>
        <w:tc>
          <w:tcPr>
            <w:tcW w:w="1845" w:type="dxa"/>
            <w:tcBorders>
              <w:bottom w:val="single" w:color="8EAADB" w:themeColor="accent5" w:themeTint="99" w:sz="12" w:space="0"/>
              <w:insideH w:val="single" w:sz="12" w:space="0"/>
            </w:tcBorders>
            <w:vAlign w:val="center"/>
          </w:tcPr>
          <w:p w14:paraId="4F748F08">
            <w:pPr>
              <w:adjustRightInd w:val="0"/>
              <w:snapToGrid w:val="0"/>
              <w:jc w:val="center"/>
              <w:rPr>
                <w:rFonts w:hint="eastAsia" w:ascii="宋体" w:hAnsi="宋体" w:eastAsia="宋体" w:cs="宋体"/>
                <w:b/>
                <w:bCs/>
                <w:sz w:val="28"/>
                <w:szCs w:val="28"/>
              </w:rPr>
            </w:pPr>
            <w:r>
              <w:rPr>
                <w:rFonts w:hint="eastAsia" w:ascii="宋体" w:hAnsi="宋体" w:eastAsia="宋体" w:cs="宋体"/>
                <w:b/>
                <w:bCs/>
                <w:sz w:val="28"/>
                <w:szCs w:val="28"/>
              </w:rPr>
              <w:t>起草单位</w:t>
            </w:r>
          </w:p>
        </w:tc>
        <w:tc>
          <w:tcPr>
            <w:tcW w:w="1646" w:type="dxa"/>
            <w:tcBorders>
              <w:bottom w:val="single" w:color="8EAADB" w:themeColor="accent5" w:themeTint="99" w:sz="12" w:space="0"/>
              <w:insideH w:val="single" w:sz="12" w:space="0"/>
            </w:tcBorders>
            <w:vAlign w:val="center"/>
          </w:tcPr>
          <w:p w14:paraId="45A001B2">
            <w:pPr>
              <w:adjustRightInd w:val="0"/>
              <w:snapToGrid w:val="0"/>
              <w:jc w:val="center"/>
              <w:rPr>
                <w:rFonts w:hint="eastAsia" w:ascii="宋体" w:hAnsi="宋体" w:eastAsia="宋体" w:cs="宋体"/>
                <w:b/>
                <w:bCs/>
                <w:sz w:val="28"/>
                <w:szCs w:val="28"/>
              </w:rPr>
            </w:pPr>
            <w:r>
              <w:rPr>
                <w:rFonts w:hint="eastAsia" w:ascii="宋体" w:hAnsi="宋体" w:eastAsia="宋体" w:cs="宋体"/>
                <w:b/>
                <w:bCs/>
                <w:sz w:val="28"/>
                <w:szCs w:val="28"/>
              </w:rPr>
              <w:t>起草人</w:t>
            </w:r>
          </w:p>
        </w:tc>
        <w:tc>
          <w:tcPr>
            <w:tcW w:w="3959" w:type="dxa"/>
            <w:tcBorders>
              <w:bottom w:val="single" w:color="8EAADB" w:themeColor="accent5" w:themeTint="99" w:sz="12" w:space="0"/>
              <w:insideH w:val="single" w:sz="12" w:space="0"/>
            </w:tcBorders>
            <w:vAlign w:val="center"/>
          </w:tcPr>
          <w:p w14:paraId="266DD0B3">
            <w:pPr>
              <w:adjustRightInd w:val="0"/>
              <w:snapToGrid w:val="0"/>
              <w:jc w:val="center"/>
              <w:rPr>
                <w:rFonts w:hint="eastAsia" w:ascii="宋体" w:hAnsi="宋体" w:eastAsia="宋体" w:cs="宋体"/>
                <w:b/>
                <w:bCs/>
                <w:sz w:val="28"/>
                <w:szCs w:val="28"/>
              </w:rPr>
            </w:pPr>
            <w:r>
              <w:rPr>
                <w:rFonts w:hint="eastAsia" w:ascii="宋体" w:hAnsi="宋体" w:eastAsia="宋体" w:cs="宋体"/>
                <w:b/>
                <w:bCs/>
                <w:sz w:val="28"/>
                <w:szCs w:val="28"/>
              </w:rPr>
              <w:t>分工</w:t>
            </w:r>
          </w:p>
        </w:tc>
      </w:tr>
      <w:tr w14:paraId="0613A927">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4647979A">
            <w:pPr>
              <w:pStyle w:val="20"/>
              <w:numPr>
                <w:ilvl w:val="0"/>
                <w:numId w:val="2"/>
              </w:numPr>
              <w:adjustRightInd w:val="0"/>
              <w:snapToGrid w:val="0"/>
              <w:ind w:firstLineChars="0"/>
              <w:jc w:val="center"/>
              <w:rPr>
                <w:rFonts w:hint="eastAsia" w:ascii="宋体" w:hAnsi="宋体" w:eastAsia="宋体" w:cs="宋体"/>
                <w:b/>
                <w:bCs/>
                <w:sz w:val="28"/>
                <w:szCs w:val="28"/>
              </w:rPr>
            </w:pPr>
          </w:p>
        </w:tc>
        <w:tc>
          <w:tcPr>
            <w:tcW w:w="1845" w:type="dxa"/>
            <w:vAlign w:val="center"/>
          </w:tcPr>
          <w:p w14:paraId="438FD23A">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中国仓储与配送协会</w:t>
            </w:r>
          </w:p>
        </w:tc>
        <w:tc>
          <w:tcPr>
            <w:tcW w:w="1646" w:type="dxa"/>
            <w:vAlign w:val="center"/>
          </w:tcPr>
          <w:p w14:paraId="24EAD2FA">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李燕</w:t>
            </w:r>
          </w:p>
          <w:p w14:paraId="5B21AA89">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姜松</w:t>
            </w:r>
          </w:p>
          <w:p w14:paraId="7F80C865">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郑淑坤</w:t>
            </w:r>
          </w:p>
        </w:tc>
        <w:tc>
          <w:tcPr>
            <w:tcW w:w="3959" w:type="dxa"/>
            <w:vAlign w:val="center"/>
          </w:tcPr>
          <w:p w14:paraId="0A94B5EB">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负责标准修订工作的总体组织、协调和技术把关，组织开展前期研究、调研论证、标准文本起草和意见处理等工作</w:t>
            </w:r>
          </w:p>
        </w:tc>
      </w:tr>
      <w:tr w14:paraId="27E20045">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3B4CFA29">
            <w:pPr>
              <w:pStyle w:val="20"/>
              <w:numPr>
                <w:ilvl w:val="0"/>
                <w:numId w:val="2"/>
              </w:numPr>
              <w:adjustRightInd w:val="0"/>
              <w:snapToGrid w:val="0"/>
              <w:ind w:firstLineChars="0"/>
              <w:jc w:val="center"/>
              <w:rPr>
                <w:rFonts w:hint="eastAsia" w:ascii="宋体" w:hAnsi="宋体" w:eastAsia="宋体" w:cs="宋体"/>
                <w:b/>
                <w:bCs/>
                <w:sz w:val="28"/>
                <w:szCs w:val="28"/>
              </w:rPr>
            </w:pPr>
          </w:p>
        </w:tc>
        <w:tc>
          <w:tcPr>
            <w:tcW w:w="1845" w:type="dxa"/>
            <w:vAlign w:val="center"/>
          </w:tcPr>
          <w:p w14:paraId="1325CB31">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北京时代商联供应链科技有限公司</w:t>
            </w:r>
          </w:p>
        </w:tc>
        <w:tc>
          <w:tcPr>
            <w:tcW w:w="1646" w:type="dxa"/>
            <w:vAlign w:val="center"/>
          </w:tcPr>
          <w:p w14:paraId="2BF0D78A">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李涛</w:t>
            </w:r>
          </w:p>
        </w:tc>
        <w:tc>
          <w:tcPr>
            <w:tcW w:w="3959" w:type="dxa"/>
            <w:vAlign w:val="center"/>
          </w:tcPr>
          <w:p w14:paraId="5189A093">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负责结合冷链物流行业发展情况，开展行业需求调研，提出低温配送中心功能配置、温控管理、食品安全、绿色低碳和智能化应用等方面的意见建议</w:t>
            </w:r>
          </w:p>
        </w:tc>
      </w:tr>
      <w:tr w14:paraId="4FCDF1D6">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7F158508">
            <w:pPr>
              <w:pStyle w:val="20"/>
              <w:numPr>
                <w:ilvl w:val="0"/>
                <w:numId w:val="2"/>
              </w:numPr>
              <w:adjustRightInd w:val="0"/>
              <w:snapToGrid w:val="0"/>
              <w:ind w:firstLineChars="0"/>
              <w:jc w:val="center"/>
              <w:rPr>
                <w:rFonts w:hint="eastAsia" w:ascii="宋体" w:hAnsi="宋体" w:eastAsia="宋体" w:cs="宋体"/>
                <w:b/>
                <w:bCs/>
                <w:sz w:val="28"/>
                <w:szCs w:val="28"/>
              </w:rPr>
            </w:pPr>
          </w:p>
        </w:tc>
        <w:tc>
          <w:tcPr>
            <w:tcW w:w="1845" w:type="dxa"/>
            <w:vAlign w:val="center"/>
          </w:tcPr>
          <w:p w14:paraId="779D7545">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山东省鲁商冰轮建筑设计有限公司</w:t>
            </w:r>
          </w:p>
        </w:tc>
        <w:tc>
          <w:tcPr>
            <w:tcW w:w="1646" w:type="dxa"/>
            <w:vAlign w:val="center"/>
          </w:tcPr>
          <w:p w14:paraId="52CD8216">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石林</w:t>
            </w:r>
          </w:p>
          <w:p w14:paraId="6EA8D186">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苑亮</w:t>
            </w:r>
          </w:p>
        </w:tc>
        <w:tc>
          <w:tcPr>
            <w:tcW w:w="3959" w:type="dxa"/>
            <w:vAlign w:val="center"/>
          </w:tcPr>
          <w:p w14:paraId="5D7AEC73">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负责结合食品低温配送中心运营实践，提出项目定位、物流工艺、作业流程、功能区设置、设施设备配置和信息化建设等方面的意见建议</w:t>
            </w:r>
          </w:p>
        </w:tc>
      </w:tr>
      <w:tr w14:paraId="17FF6E0D">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2AC37476">
            <w:pPr>
              <w:pStyle w:val="20"/>
              <w:numPr>
                <w:ilvl w:val="0"/>
                <w:numId w:val="2"/>
              </w:numPr>
              <w:adjustRightInd w:val="0"/>
              <w:snapToGrid w:val="0"/>
              <w:ind w:firstLineChars="0"/>
              <w:jc w:val="center"/>
              <w:rPr>
                <w:rFonts w:hint="eastAsia" w:ascii="宋体" w:hAnsi="宋体" w:eastAsia="宋体" w:cs="宋体"/>
                <w:b/>
                <w:bCs/>
                <w:sz w:val="28"/>
                <w:szCs w:val="28"/>
              </w:rPr>
            </w:pPr>
          </w:p>
        </w:tc>
        <w:tc>
          <w:tcPr>
            <w:tcW w:w="1845" w:type="dxa"/>
            <w:vAlign w:val="center"/>
          </w:tcPr>
          <w:p w14:paraId="2757A4EA">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成都银犁冷链物流股份有限公司</w:t>
            </w:r>
          </w:p>
        </w:tc>
        <w:tc>
          <w:tcPr>
            <w:tcW w:w="1646" w:type="dxa"/>
            <w:vAlign w:val="center"/>
          </w:tcPr>
          <w:p w14:paraId="685E7AE0">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谢斌</w:t>
            </w:r>
          </w:p>
        </w:tc>
        <w:tc>
          <w:tcPr>
            <w:tcW w:w="3959" w:type="dxa"/>
            <w:vAlign w:val="center"/>
          </w:tcPr>
          <w:p w14:paraId="0B9CC35D">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负责结合物流工程规划设计实践，提出项目选址、总体规划、主体建筑、道路及动线、设施设备配置和工程建设等方面的意见建议</w:t>
            </w:r>
          </w:p>
        </w:tc>
      </w:tr>
      <w:tr w14:paraId="14F7B152">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0B3987A3">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07DA22E6">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中交四航（广州）供应链管理有限公司</w:t>
            </w:r>
          </w:p>
        </w:tc>
        <w:tc>
          <w:tcPr>
            <w:tcW w:w="1646" w:type="dxa"/>
            <w:vAlign w:val="center"/>
          </w:tcPr>
          <w:p w14:paraId="4155129A">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高何杰</w:t>
            </w:r>
          </w:p>
        </w:tc>
        <w:tc>
          <w:tcPr>
            <w:tcW w:w="3959" w:type="dxa"/>
            <w:vAlign w:val="center"/>
          </w:tcPr>
          <w:p w14:paraId="2E21B7B2">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622D7942">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5669454A">
            <w:pPr>
              <w:pStyle w:val="20"/>
              <w:numPr>
                <w:ilvl w:val="0"/>
                <w:numId w:val="2"/>
              </w:numPr>
              <w:adjustRightInd w:val="0"/>
              <w:snapToGrid w:val="0"/>
              <w:ind w:firstLineChars="0"/>
              <w:rPr>
                <w:rFonts w:hint="eastAsia" w:ascii="宋体" w:hAnsi="宋体" w:eastAsia="宋体" w:cs="宋体"/>
                <w:b w:val="0"/>
                <w:bCs w:val="0"/>
                <w:sz w:val="28"/>
                <w:szCs w:val="28"/>
              </w:rPr>
            </w:pPr>
          </w:p>
        </w:tc>
        <w:tc>
          <w:tcPr>
            <w:tcW w:w="1845" w:type="dxa"/>
            <w:vAlign w:val="center"/>
          </w:tcPr>
          <w:p w14:paraId="331D572C">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安徽华章机器人技术有限公司</w:t>
            </w:r>
          </w:p>
        </w:tc>
        <w:tc>
          <w:tcPr>
            <w:tcW w:w="1646" w:type="dxa"/>
            <w:vAlign w:val="center"/>
          </w:tcPr>
          <w:p w14:paraId="3ED53EAB">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唐云霄</w:t>
            </w:r>
          </w:p>
        </w:tc>
        <w:tc>
          <w:tcPr>
            <w:tcW w:w="3959" w:type="dxa"/>
            <w:vAlign w:val="center"/>
          </w:tcPr>
          <w:p w14:paraId="703E74EA">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5E643AF1">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0966317B">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1C39651C">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江苏华章智能科技有限公司</w:t>
            </w:r>
          </w:p>
        </w:tc>
        <w:tc>
          <w:tcPr>
            <w:tcW w:w="1646" w:type="dxa"/>
            <w:vAlign w:val="center"/>
          </w:tcPr>
          <w:p w14:paraId="172BECF7">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华聚良</w:t>
            </w:r>
          </w:p>
        </w:tc>
        <w:tc>
          <w:tcPr>
            <w:tcW w:w="3959" w:type="dxa"/>
            <w:vAlign w:val="center"/>
          </w:tcPr>
          <w:p w14:paraId="71733327">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645CC47B">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6EBE9475">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63140698">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山东银座配送有限公司</w:t>
            </w:r>
          </w:p>
        </w:tc>
        <w:tc>
          <w:tcPr>
            <w:tcW w:w="1646" w:type="dxa"/>
            <w:vAlign w:val="center"/>
          </w:tcPr>
          <w:p w14:paraId="2703AFF1">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张继程</w:t>
            </w:r>
          </w:p>
        </w:tc>
        <w:tc>
          <w:tcPr>
            <w:tcW w:w="3959" w:type="dxa"/>
            <w:vAlign w:val="center"/>
          </w:tcPr>
          <w:p w14:paraId="15364ACB">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7840F8B3">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1F2256E6">
            <w:pPr>
              <w:pStyle w:val="20"/>
              <w:numPr>
                <w:ilvl w:val="0"/>
                <w:numId w:val="2"/>
              </w:numPr>
              <w:adjustRightInd w:val="0"/>
              <w:snapToGrid w:val="0"/>
              <w:ind w:firstLineChars="0"/>
              <w:rPr>
                <w:rFonts w:hint="eastAsia" w:ascii="宋体" w:hAnsi="宋体" w:eastAsia="宋体" w:cs="宋体"/>
                <w:b w:val="0"/>
                <w:bCs w:val="0"/>
                <w:sz w:val="28"/>
                <w:szCs w:val="28"/>
              </w:rPr>
            </w:pPr>
          </w:p>
        </w:tc>
        <w:tc>
          <w:tcPr>
            <w:tcW w:w="1845" w:type="dxa"/>
            <w:vAlign w:val="center"/>
          </w:tcPr>
          <w:p w14:paraId="0C5898E6">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华晟(青岛)智能装备科技有限公司</w:t>
            </w:r>
          </w:p>
        </w:tc>
        <w:tc>
          <w:tcPr>
            <w:tcW w:w="1646" w:type="dxa"/>
            <w:vAlign w:val="center"/>
          </w:tcPr>
          <w:p w14:paraId="33CC640A">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徐丰娟</w:t>
            </w:r>
          </w:p>
        </w:tc>
        <w:tc>
          <w:tcPr>
            <w:tcW w:w="3959" w:type="dxa"/>
            <w:vAlign w:val="center"/>
          </w:tcPr>
          <w:p w14:paraId="01E79D1E">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3B3C3DEA">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5ED79E79">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19C41033">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四川省华盛兴邦工程设计有限公司</w:t>
            </w:r>
          </w:p>
        </w:tc>
        <w:tc>
          <w:tcPr>
            <w:tcW w:w="1646" w:type="dxa"/>
            <w:vAlign w:val="center"/>
          </w:tcPr>
          <w:p w14:paraId="08C51D81">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冯丽</w:t>
            </w:r>
          </w:p>
        </w:tc>
        <w:tc>
          <w:tcPr>
            <w:tcW w:w="3959" w:type="dxa"/>
            <w:vAlign w:val="center"/>
          </w:tcPr>
          <w:p w14:paraId="5E07EA80">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4DD3C04E">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2211E12D">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6B0C6166">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河北壹雪制冷科技有限公司</w:t>
            </w:r>
          </w:p>
        </w:tc>
        <w:tc>
          <w:tcPr>
            <w:tcW w:w="1646" w:type="dxa"/>
            <w:vAlign w:val="center"/>
          </w:tcPr>
          <w:p w14:paraId="26DA6530">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尉润华</w:t>
            </w:r>
          </w:p>
        </w:tc>
        <w:tc>
          <w:tcPr>
            <w:tcW w:w="3959" w:type="dxa"/>
            <w:vAlign w:val="center"/>
          </w:tcPr>
          <w:p w14:paraId="7CDE6890">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3AB92E47">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2031579B">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17E7CBE7">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安徽皖泰门业科技有限公司</w:t>
            </w:r>
          </w:p>
        </w:tc>
        <w:tc>
          <w:tcPr>
            <w:tcW w:w="1646" w:type="dxa"/>
            <w:vAlign w:val="center"/>
          </w:tcPr>
          <w:p w14:paraId="5121E1FE">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陈萌</w:t>
            </w:r>
          </w:p>
        </w:tc>
        <w:tc>
          <w:tcPr>
            <w:tcW w:w="3959" w:type="dxa"/>
            <w:vAlign w:val="center"/>
          </w:tcPr>
          <w:p w14:paraId="7F03E476">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0B1F64CE">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63D20031">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15C291A7">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捷曼门业（北京）有限公司</w:t>
            </w:r>
          </w:p>
        </w:tc>
        <w:tc>
          <w:tcPr>
            <w:tcW w:w="1646" w:type="dxa"/>
            <w:vAlign w:val="center"/>
          </w:tcPr>
          <w:p w14:paraId="4262CDB0">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吴一凡</w:t>
            </w:r>
          </w:p>
        </w:tc>
        <w:tc>
          <w:tcPr>
            <w:tcW w:w="3959" w:type="dxa"/>
            <w:vAlign w:val="center"/>
          </w:tcPr>
          <w:p w14:paraId="6292BDC3">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1D2FABCF">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4A482DA2">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391E2915">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深圳新源柔性科技有限公司</w:t>
            </w:r>
          </w:p>
        </w:tc>
        <w:tc>
          <w:tcPr>
            <w:tcW w:w="1646" w:type="dxa"/>
            <w:vAlign w:val="center"/>
          </w:tcPr>
          <w:p w14:paraId="39DBF159">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聂赞相</w:t>
            </w:r>
          </w:p>
          <w:p w14:paraId="7D196B56">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杨滔滔</w:t>
            </w:r>
          </w:p>
        </w:tc>
        <w:tc>
          <w:tcPr>
            <w:tcW w:w="3959" w:type="dxa"/>
            <w:vAlign w:val="center"/>
          </w:tcPr>
          <w:p w14:paraId="0F5DA659">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0C3D7D99">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15C20834">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1B16CF01">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上海冷链协会</w:t>
            </w:r>
          </w:p>
        </w:tc>
        <w:tc>
          <w:tcPr>
            <w:tcW w:w="1646" w:type="dxa"/>
            <w:vAlign w:val="center"/>
          </w:tcPr>
          <w:p w14:paraId="70BDC9F9">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刘龙昌</w:t>
            </w:r>
          </w:p>
        </w:tc>
        <w:tc>
          <w:tcPr>
            <w:tcW w:w="3959" w:type="dxa"/>
            <w:vAlign w:val="center"/>
          </w:tcPr>
          <w:p w14:paraId="08449947">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66BFF9EA">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1B3A14BE">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1F9227E8">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内蒙古蒙牛乳业(集团)股份有限公司</w:t>
            </w:r>
          </w:p>
        </w:tc>
        <w:tc>
          <w:tcPr>
            <w:tcW w:w="1646" w:type="dxa"/>
            <w:vAlign w:val="center"/>
          </w:tcPr>
          <w:p w14:paraId="275AED8B">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高安平</w:t>
            </w:r>
          </w:p>
          <w:p w14:paraId="52240876">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陈伟东</w:t>
            </w:r>
          </w:p>
        </w:tc>
        <w:tc>
          <w:tcPr>
            <w:tcW w:w="3959" w:type="dxa"/>
            <w:vAlign w:val="center"/>
          </w:tcPr>
          <w:p w14:paraId="208F4DD2">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4CF2A48F">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706653C9">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5AC31552">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山东商业职业技术大学</w:t>
            </w:r>
          </w:p>
        </w:tc>
        <w:tc>
          <w:tcPr>
            <w:tcW w:w="1646" w:type="dxa"/>
            <w:vAlign w:val="center"/>
          </w:tcPr>
          <w:p w14:paraId="278473DC">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郭风军</w:t>
            </w:r>
          </w:p>
          <w:p w14:paraId="1EFC8A59">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姜沛宏</w:t>
            </w:r>
          </w:p>
        </w:tc>
        <w:tc>
          <w:tcPr>
            <w:tcW w:w="3959" w:type="dxa"/>
            <w:vAlign w:val="center"/>
          </w:tcPr>
          <w:p w14:paraId="26D0C6E1">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7EFF3A73">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24B6ED3D">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510B843D">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机械工业第六设计研究院有限公司</w:t>
            </w:r>
          </w:p>
        </w:tc>
        <w:tc>
          <w:tcPr>
            <w:tcW w:w="1646" w:type="dxa"/>
            <w:vAlign w:val="center"/>
          </w:tcPr>
          <w:p w14:paraId="46C56F7D">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李龙雨</w:t>
            </w:r>
          </w:p>
        </w:tc>
        <w:tc>
          <w:tcPr>
            <w:tcW w:w="3959" w:type="dxa"/>
            <w:vAlign w:val="center"/>
          </w:tcPr>
          <w:p w14:paraId="12C010C4">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66D65E32">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0FEAF74E">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7DA96FDC">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北京京邦达贸易有限公司</w:t>
            </w:r>
          </w:p>
        </w:tc>
        <w:tc>
          <w:tcPr>
            <w:tcW w:w="1646" w:type="dxa"/>
            <w:vAlign w:val="center"/>
          </w:tcPr>
          <w:p w14:paraId="305B08A9">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邬勇</w:t>
            </w:r>
          </w:p>
        </w:tc>
        <w:tc>
          <w:tcPr>
            <w:tcW w:w="3959" w:type="dxa"/>
            <w:vAlign w:val="center"/>
          </w:tcPr>
          <w:p w14:paraId="1B8EB45D">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46C0C900">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37D13AC6">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6D7AE9B1">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中交第三航务工程勘察设计院有限公司</w:t>
            </w:r>
          </w:p>
        </w:tc>
        <w:tc>
          <w:tcPr>
            <w:tcW w:w="1646" w:type="dxa"/>
            <w:vAlign w:val="center"/>
          </w:tcPr>
          <w:p w14:paraId="680D7BC2">
            <w:pPr>
              <w:widowControl/>
              <w:adjustRightInd w:val="0"/>
              <w:snapToGrid w:val="0"/>
              <w:jc w:val="center"/>
              <w:textAlignment w:val="center"/>
              <w:rPr>
                <w:rFonts w:hint="eastAsia" w:ascii="宋体" w:hAnsi="宋体" w:eastAsia="宋体" w:cs="宋体"/>
                <w:sz w:val="28"/>
                <w:szCs w:val="28"/>
              </w:rPr>
            </w:pPr>
            <w:r>
              <w:rPr>
                <w:rFonts w:hint="eastAsia" w:ascii="宋体" w:hAnsi="宋体" w:eastAsia="宋体" w:cs="宋体"/>
                <w:color w:val="000000"/>
                <w:kern w:val="0"/>
                <w:sz w:val="28"/>
                <w:szCs w:val="28"/>
                <w:lang w:bidi="ar"/>
              </w:rPr>
              <w:t>窦亚妮</w:t>
            </w:r>
          </w:p>
        </w:tc>
        <w:tc>
          <w:tcPr>
            <w:tcW w:w="3959" w:type="dxa"/>
            <w:vAlign w:val="center"/>
          </w:tcPr>
          <w:p w14:paraId="2E8C28A5">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负责结合低温仓储配送运营实践，提出冷库建筑、控温封闭站台、温控系统、库内作业、安全卫生和节能环保等方面的意见建议</w:t>
            </w:r>
          </w:p>
        </w:tc>
      </w:tr>
      <w:tr w14:paraId="026FE167">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c>
          <w:tcPr>
            <w:tcW w:w="846" w:type="dxa"/>
            <w:vAlign w:val="center"/>
          </w:tcPr>
          <w:p w14:paraId="72B15FEA">
            <w:pPr>
              <w:pStyle w:val="20"/>
              <w:numPr>
                <w:ilvl w:val="0"/>
                <w:numId w:val="2"/>
              </w:numPr>
              <w:adjustRightInd w:val="0"/>
              <w:snapToGrid w:val="0"/>
              <w:ind w:firstLineChars="0"/>
              <w:jc w:val="center"/>
              <w:rPr>
                <w:rFonts w:hint="eastAsia" w:ascii="宋体" w:hAnsi="宋体" w:eastAsia="宋体" w:cs="宋体"/>
                <w:b w:val="0"/>
                <w:bCs w:val="0"/>
                <w:sz w:val="28"/>
                <w:szCs w:val="28"/>
              </w:rPr>
            </w:pPr>
          </w:p>
        </w:tc>
        <w:tc>
          <w:tcPr>
            <w:tcW w:w="1845" w:type="dxa"/>
            <w:vAlign w:val="center"/>
          </w:tcPr>
          <w:p w14:paraId="38338A5F">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个人</w:t>
            </w:r>
          </w:p>
        </w:tc>
        <w:tc>
          <w:tcPr>
            <w:tcW w:w="1646" w:type="dxa"/>
            <w:vAlign w:val="center"/>
          </w:tcPr>
          <w:p w14:paraId="74CB6843">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唐俊杰</w:t>
            </w:r>
          </w:p>
          <w:p w14:paraId="0A87564F">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王高亭</w:t>
            </w:r>
          </w:p>
          <w:p w14:paraId="7B1333DB">
            <w:pPr>
              <w:widowControl/>
              <w:adjustRightInd w:val="0"/>
              <w:snapToGrid w:val="0"/>
              <w:jc w:val="center"/>
              <w:textAlignment w:val="center"/>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张艺伟</w:t>
            </w:r>
          </w:p>
        </w:tc>
        <w:tc>
          <w:tcPr>
            <w:tcW w:w="3959" w:type="dxa"/>
            <w:vAlign w:val="center"/>
          </w:tcPr>
          <w:p w14:paraId="6FB4500A">
            <w:pPr>
              <w:adjustRightInd w:val="0"/>
              <w:snapToGrid w:val="0"/>
              <w:jc w:val="left"/>
              <w:rPr>
                <w:rFonts w:hint="eastAsia" w:ascii="宋体" w:hAnsi="宋体" w:eastAsia="宋体" w:cs="宋体"/>
                <w:sz w:val="28"/>
                <w:szCs w:val="28"/>
              </w:rPr>
            </w:pPr>
            <w:r>
              <w:rPr>
                <w:rFonts w:hint="eastAsia" w:ascii="宋体" w:hAnsi="宋体" w:eastAsia="宋体" w:cs="宋体"/>
                <w:sz w:val="28"/>
                <w:szCs w:val="28"/>
              </w:rPr>
              <w:t>负责结合食品低温配送中心运营实践，提出项目定位、物流工艺、作业流程、功能区设置、设施设备配置和信息化建设等方面的意见建议</w:t>
            </w:r>
          </w:p>
        </w:tc>
      </w:tr>
    </w:tbl>
    <w:p w14:paraId="38C5708D">
      <w:pPr>
        <w:outlineLvl w:val="0"/>
        <w:rPr>
          <w:rFonts w:hint="eastAsia" w:ascii="黑体" w:hAnsi="黑体" w:eastAsia="黑体" w:cs="黑体"/>
          <w:sz w:val="32"/>
          <w:szCs w:val="32"/>
        </w:rPr>
      </w:pPr>
      <w:r>
        <w:rPr>
          <w:rFonts w:hint="eastAsia" w:ascii="黑体" w:hAnsi="黑体" w:eastAsia="黑体" w:cs="黑体"/>
          <w:sz w:val="32"/>
          <w:szCs w:val="32"/>
        </w:rPr>
        <w:t>二、国家标准编制原则、主要内容及其确定依据，修订国家标准时，还包括修订前后技术内容的对比</w:t>
      </w:r>
    </w:p>
    <w:p w14:paraId="0967F29A">
      <w:pPr>
        <w:ind w:firstLine="643" w:firstLineChars="200"/>
        <w:outlineLvl w:val="1"/>
        <w:rPr>
          <w:b/>
          <w:bCs/>
          <w:sz w:val="32"/>
          <w:szCs w:val="32"/>
        </w:rPr>
      </w:pPr>
      <w:r>
        <w:rPr>
          <w:rFonts w:hint="eastAsia"/>
          <w:b/>
          <w:bCs/>
          <w:sz w:val="32"/>
          <w:szCs w:val="32"/>
        </w:rPr>
        <w:t>（一）编制原则</w:t>
      </w:r>
    </w:p>
    <w:p w14:paraId="048DA0A5">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1. 规范性原则</w:t>
      </w:r>
    </w:p>
    <w:p w14:paraId="2EF325C0">
      <w:pPr>
        <w:ind w:firstLine="640" w:firstLineChars="200"/>
        <w:rPr>
          <w:rFonts w:ascii="Times New Roman" w:hAnsi="Times New Roman"/>
          <w:sz w:val="32"/>
          <w:szCs w:val="32"/>
        </w:rPr>
      </w:pPr>
      <w:r>
        <w:rPr>
          <w:rFonts w:hint="eastAsia" w:ascii="Times New Roman" w:hAnsi="Times New Roman"/>
          <w:sz w:val="32"/>
          <w:szCs w:val="32"/>
        </w:rPr>
        <w:t>本文件严格按照GB/T 1.1—2020《标准化工作导则 第1部分：标准化文件的结构和起草规则》编写。</w:t>
      </w:r>
    </w:p>
    <w:p w14:paraId="6EACFE1D">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2. 适用性原则</w:t>
      </w:r>
    </w:p>
    <w:p w14:paraId="6E08AAA3">
      <w:pPr>
        <w:ind w:firstLine="640" w:firstLineChars="200"/>
        <w:rPr>
          <w:rFonts w:ascii="Times New Roman" w:hAnsi="Times New Roman"/>
          <w:sz w:val="32"/>
          <w:szCs w:val="32"/>
        </w:rPr>
      </w:pPr>
      <w:r>
        <w:rPr>
          <w:rFonts w:ascii="Times New Roman" w:hAnsi="Times New Roman"/>
          <w:sz w:val="32"/>
          <w:szCs w:val="32"/>
        </w:rPr>
        <w:t>通过查阅资料、召开研讨会和实地调研等方式，尽可能全面的了解我国</w:t>
      </w:r>
      <w:r>
        <w:rPr>
          <w:rFonts w:hint="eastAsia" w:ascii="Times New Roman" w:hAnsi="Times New Roman"/>
          <w:sz w:val="32"/>
          <w:szCs w:val="32"/>
        </w:rPr>
        <w:t>食品低温配送中心</w:t>
      </w:r>
      <w:r>
        <w:rPr>
          <w:rFonts w:ascii="Times New Roman" w:hAnsi="Times New Roman"/>
          <w:sz w:val="32"/>
          <w:szCs w:val="32"/>
        </w:rPr>
        <w:t>发展现状，使</w:t>
      </w:r>
      <w:r>
        <w:rPr>
          <w:rFonts w:hint="eastAsia" w:ascii="Times New Roman" w:hAnsi="Times New Roman"/>
          <w:sz w:val="32"/>
          <w:szCs w:val="32"/>
        </w:rPr>
        <w:t>本</w:t>
      </w:r>
      <w:r>
        <w:rPr>
          <w:rFonts w:ascii="Times New Roman" w:hAnsi="Times New Roman"/>
          <w:sz w:val="32"/>
          <w:szCs w:val="32"/>
        </w:rPr>
        <w:t>标准</w:t>
      </w:r>
      <w:r>
        <w:rPr>
          <w:rFonts w:hint="eastAsia" w:ascii="Times New Roman" w:hAnsi="Times New Roman"/>
          <w:sz w:val="32"/>
          <w:szCs w:val="32"/>
        </w:rPr>
        <w:t>在规划设计方面</w:t>
      </w:r>
      <w:r>
        <w:rPr>
          <w:rFonts w:ascii="Times New Roman" w:hAnsi="Times New Roman"/>
          <w:sz w:val="32"/>
          <w:szCs w:val="32"/>
        </w:rPr>
        <w:t>内容科学、合理、适用，更好满足</w:t>
      </w:r>
      <w:r>
        <w:rPr>
          <w:rFonts w:hint="eastAsia" w:ascii="Times New Roman" w:hAnsi="Times New Roman"/>
          <w:sz w:val="32"/>
          <w:szCs w:val="32"/>
        </w:rPr>
        <w:t>食品低温配送中心发展</w:t>
      </w:r>
      <w:r>
        <w:rPr>
          <w:rFonts w:ascii="Times New Roman" w:hAnsi="Times New Roman"/>
          <w:sz w:val="32"/>
          <w:szCs w:val="32"/>
        </w:rPr>
        <w:t>。</w:t>
      </w:r>
    </w:p>
    <w:p w14:paraId="7097D411">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3. 与其他标准协调一致原则</w:t>
      </w:r>
    </w:p>
    <w:p w14:paraId="66E9F6EA">
      <w:pPr>
        <w:ind w:firstLine="640" w:firstLineChars="200"/>
        <w:rPr>
          <w:rFonts w:ascii="Times New Roman" w:hAnsi="Times New Roman"/>
          <w:sz w:val="32"/>
          <w:szCs w:val="32"/>
        </w:rPr>
      </w:pPr>
      <w:r>
        <w:rPr>
          <w:rFonts w:ascii="Times New Roman" w:hAnsi="Times New Roman"/>
          <w:sz w:val="32"/>
          <w:szCs w:val="32"/>
        </w:rPr>
        <w:t>本标准在起草过程中，充分调研国内现有</w:t>
      </w:r>
      <w:r>
        <w:rPr>
          <w:rFonts w:hint="eastAsia" w:ascii="Times New Roman" w:hAnsi="Times New Roman"/>
          <w:sz w:val="32"/>
          <w:szCs w:val="32"/>
        </w:rPr>
        <w:t>食品</w:t>
      </w:r>
      <w:r>
        <w:rPr>
          <w:rFonts w:ascii="Times New Roman" w:hAnsi="Times New Roman"/>
          <w:sz w:val="32"/>
          <w:szCs w:val="32"/>
        </w:rPr>
        <w:t>运输、储存、安全、卫生、包装和</w:t>
      </w:r>
      <w:r>
        <w:rPr>
          <w:rFonts w:hint="eastAsia" w:ascii="Times New Roman" w:hAnsi="Times New Roman"/>
          <w:sz w:val="32"/>
          <w:szCs w:val="32"/>
        </w:rPr>
        <w:t>信息</w:t>
      </w:r>
      <w:r>
        <w:rPr>
          <w:rFonts w:ascii="Times New Roman" w:hAnsi="Times New Roman"/>
          <w:sz w:val="32"/>
          <w:szCs w:val="32"/>
        </w:rPr>
        <w:t>等国家、行业及地方标准，在内容、术语上尽量与其它标准保持协调一致。</w:t>
      </w:r>
    </w:p>
    <w:p w14:paraId="65A3BE39">
      <w:pPr>
        <w:ind w:firstLine="643" w:firstLineChars="200"/>
        <w:outlineLvl w:val="1"/>
        <w:rPr>
          <w:b/>
          <w:bCs/>
          <w:sz w:val="32"/>
          <w:szCs w:val="32"/>
        </w:rPr>
      </w:pPr>
      <w:r>
        <w:rPr>
          <w:rFonts w:hint="eastAsia"/>
          <w:b/>
          <w:bCs/>
          <w:sz w:val="32"/>
          <w:szCs w:val="32"/>
        </w:rPr>
        <w:t>（二）主要内容及其确定依据</w:t>
      </w:r>
    </w:p>
    <w:p w14:paraId="6D95BC6F">
      <w:pPr>
        <w:ind w:firstLine="643" w:firstLineChars="200"/>
        <w:outlineLvl w:val="2"/>
        <w:rPr>
          <w:rFonts w:ascii="Times New Roman" w:hAnsi="Times New Roman" w:eastAsia="楷体_GB2312"/>
          <w:b/>
          <w:bCs/>
          <w:sz w:val="32"/>
          <w:szCs w:val="32"/>
        </w:rPr>
      </w:pPr>
      <w:r>
        <w:rPr>
          <w:rFonts w:hint="eastAsia" w:ascii="Times New Roman" w:hAnsi="Times New Roman" w:eastAsia="楷体_GB2312"/>
          <w:b/>
          <w:bCs/>
          <w:sz w:val="32"/>
          <w:szCs w:val="32"/>
        </w:rPr>
        <w:t>1. 范围</w:t>
      </w:r>
    </w:p>
    <w:p w14:paraId="246AD8CD">
      <w:pPr>
        <w:ind w:firstLine="640" w:firstLineChars="200"/>
        <w:rPr>
          <w:rFonts w:ascii="Times New Roman" w:hAnsi="Times New Roman"/>
          <w:sz w:val="32"/>
          <w:szCs w:val="32"/>
        </w:rPr>
      </w:pPr>
      <w:r>
        <w:rPr>
          <w:rFonts w:ascii="Times New Roman" w:hAnsi="Times New Roman"/>
          <w:sz w:val="32"/>
          <w:szCs w:val="32"/>
        </w:rPr>
        <w:t>本文件</w:t>
      </w:r>
      <w:r>
        <w:rPr>
          <w:rFonts w:hint="eastAsia" w:ascii="Times New Roman" w:hAnsi="Times New Roman"/>
          <w:sz w:val="32"/>
          <w:szCs w:val="32"/>
        </w:rPr>
        <w:t>给出了食品低温配送中心规划设计的总体原则，并就规划设计、主体设施、核心功能区、温控系统、道路及动线、作业设备、能源与节能环保、安全与卫生、信息化与智能化提出设计和规划建议</w:t>
      </w:r>
      <w:r>
        <w:rPr>
          <w:rFonts w:ascii="Times New Roman" w:hAnsi="Times New Roman"/>
          <w:sz w:val="32"/>
          <w:szCs w:val="32"/>
        </w:rPr>
        <w:t>。</w:t>
      </w:r>
    </w:p>
    <w:p w14:paraId="320BE84C">
      <w:pPr>
        <w:ind w:firstLine="640" w:firstLineChars="200"/>
        <w:rPr>
          <w:rFonts w:ascii="Times New Roman" w:hAnsi="Times New Roman"/>
          <w:sz w:val="32"/>
          <w:szCs w:val="32"/>
        </w:rPr>
      </w:pPr>
      <w:r>
        <w:rPr>
          <w:rFonts w:ascii="Times New Roman" w:hAnsi="Times New Roman"/>
          <w:sz w:val="32"/>
          <w:szCs w:val="32"/>
        </w:rPr>
        <w:t>本文件适用于食品低温配送中心的新建、改建或扩建。</w:t>
      </w:r>
    </w:p>
    <w:p w14:paraId="0DDB6B74">
      <w:pPr>
        <w:ind w:firstLine="640" w:firstLineChars="200"/>
        <w:rPr>
          <w:rFonts w:ascii="Times New Roman" w:hAnsi="Times New Roman"/>
          <w:sz w:val="32"/>
          <w:szCs w:val="32"/>
        </w:rPr>
      </w:pPr>
      <w:r>
        <w:rPr>
          <w:rFonts w:ascii="Times New Roman" w:hAnsi="Times New Roman"/>
          <w:sz w:val="32"/>
          <w:szCs w:val="32"/>
        </w:rPr>
        <w:t>本章在延续GB/T 38375—2019适用对象的基础上，结合食品低温配送中心由传统仓储、分拨设施向预冷、仓储、分拣、流通加工、检测、配送、能源管理和信息服务一体化节点发展的实际，对温控、能源、安全卫生和智能化等规划设计内容进行了扩展。</w:t>
      </w:r>
    </w:p>
    <w:p w14:paraId="35B5EB54">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2. 规范性引用文件</w:t>
      </w:r>
    </w:p>
    <w:p w14:paraId="1F11B31C">
      <w:pPr>
        <w:ind w:firstLine="640" w:firstLineChars="200"/>
        <w:rPr>
          <w:rFonts w:ascii="Times New Roman" w:hAnsi="Times New Roman"/>
          <w:sz w:val="32"/>
          <w:szCs w:val="32"/>
        </w:rPr>
      </w:pPr>
      <w:r>
        <w:rPr>
          <w:rFonts w:ascii="Times New Roman" w:hAnsi="Times New Roman"/>
          <w:sz w:val="32"/>
          <w:szCs w:val="32"/>
        </w:rPr>
        <w:t>本文件引用</w:t>
      </w:r>
      <w:r>
        <w:rPr>
          <w:rFonts w:hint="eastAsia" w:ascii="Times New Roman" w:hAnsi="Times New Roman"/>
          <w:sz w:val="32"/>
          <w:szCs w:val="32"/>
        </w:rPr>
        <w:t>GB 14881—2025、GB/T 18354、GB/T 28581—2021、GB/T 28843—2024、GB 31605、GB 31621、GB/T 32146.1、GB/T 32146.3、GB/T 43910、GB 50016、GB 50072—2021、GB/T 50966—2024和GB 51157—2016</w:t>
      </w:r>
      <w:r>
        <w:rPr>
          <w:rFonts w:ascii="Times New Roman" w:hAnsi="Times New Roman"/>
          <w:sz w:val="32"/>
          <w:szCs w:val="32"/>
        </w:rPr>
        <w:t>等文件。</w:t>
      </w:r>
    </w:p>
    <w:p w14:paraId="0510F87D">
      <w:pPr>
        <w:ind w:firstLine="640" w:firstLineChars="200"/>
        <w:rPr>
          <w:rFonts w:ascii="Times New Roman" w:hAnsi="Times New Roman"/>
          <w:sz w:val="32"/>
          <w:szCs w:val="32"/>
        </w:rPr>
      </w:pPr>
      <w:r>
        <w:rPr>
          <w:rFonts w:ascii="Times New Roman" w:hAnsi="Times New Roman"/>
          <w:sz w:val="32"/>
          <w:szCs w:val="32"/>
        </w:rPr>
        <w:t>其中，GB/T 18354为食品低温配送中心、流通加工等物流术语使用提供基础依据；GB/T 28581为仓库及库区、站台、装卸作业区、道路和地面承重等规划设计提供依据；GB/T 28577为冷链物流温区划分和食品温控条件确定提供参考；</w:t>
      </w:r>
      <w:r>
        <w:rPr>
          <w:rFonts w:hint="eastAsia" w:ascii="Times New Roman" w:hAnsi="Times New Roman"/>
          <w:sz w:val="32"/>
          <w:szCs w:val="32"/>
        </w:rPr>
        <w:t>GB/T 32146.1和GB/T 32146.3为食品检测区规划提供参考；</w:t>
      </w:r>
      <w:r>
        <w:rPr>
          <w:rFonts w:ascii="Times New Roman" w:hAnsi="Times New Roman"/>
          <w:sz w:val="32"/>
          <w:szCs w:val="32"/>
        </w:rPr>
        <w:t>GB 50016、GB 50072和GB 51157分别为建筑防火、冷库设计和物流建筑设计提供依据；GB 14881、GB 31605和GB 31621分别为食品生产卫生、食品冷链物流卫生和食品经营过程卫生提供依据；GB/T 28843为食品冷链追溯体系的信息采集和记录提供依据；GB 43910为仓储设备术语使用提供依据；GB/T 50966为电动配送车辆等充电设施规划设计提供依据。</w:t>
      </w:r>
    </w:p>
    <w:p w14:paraId="7719998A">
      <w:pPr>
        <w:ind w:firstLine="640" w:firstLineChars="200"/>
        <w:rPr>
          <w:rFonts w:ascii="Times New Roman" w:hAnsi="Times New Roman"/>
          <w:sz w:val="32"/>
          <w:szCs w:val="32"/>
        </w:rPr>
      </w:pPr>
      <w:r>
        <w:rPr>
          <w:rFonts w:ascii="Times New Roman" w:hAnsi="Times New Roman"/>
          <w:sz w:val="32"/>
          <w:szCs w:val="32"/>
        </w:rPr>
        <w:t>根据本文件为规划设计指南的定位，不涉及冷库工程施工及验收内容，因此不再引用冷库施工及验收相关标准。规范性引用文件仅保留在正文中具有实际引用内容的文件，并应根据标准文本最终条文进一步核对和完善。</w:t>
      </w:r>
    </w:p>
    <w:p w14:paraId="2C2443F0">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3. 术语和定义</w:t>
      </w:r>
    </w:p>
    <w:p w14:paraId="064F0AF5">
      <w:pPr>
        <w:ind w:firstLine="640" w:firstLineChars="200"/>
        <w:rPr>
          <w:rFonts w:ascii="Times New Roman" w:hAnsi="Times New Roman"/>
          <w:sz w:val="32"/>
          <w:szCs w:val="32"/>
        </w:rPr>
      </w:pPr>
      <w:r>
        <w:rPr>
          <w:rFonts w:ascii="Times New Roman" w:hAnsi="Times New Roman"/>
          <w:sz w:val="32"/>
          <w:szCs w:val="32"/>
        </w:rPr>
        <w:t>本文件采用GB/T 18354界定的相关术语和定义，并保留“食品低温配送中心”和“控温封闭站台”术语。</w:t>
      </w:r>
    </w:p>
    <w:p w14:paraId="21641865">
      <w:pPr>
        <w:ind w:firstLine="640" w:firstLineChars="200"/>
        <w:rPr>
          <w:rFonts w:ascii="Times New Roman" w:hAnsi="Times New Roman"/>
          <w:sz w:val="32"/>
          <w:szCs w:val="32"/>
        </w:rPr>
      </w:pPr>
      <w:r>
        <w:rPr>
          <w:rFonts w:ascii="Times New Roman" w:hAnsi="Times New Roman"/>
          <w:sz w:val="32"/>
          <w:szCs w:val="32"/>
        </w:rPr>
        <w:t>“食品低温配送中心”用于明确本文件适用对象，即具备配送基础设施、信息网络和温控设施设备，能够开展食品收货、存储、分拣、加工和配送等作业，并面向末端客户提供短距离、小批量、多批次配送服务的专业化配送场所。</w:t>
      </w:r>
    </w:p>
    <w:p w14:paraId="1808A7CC">
      <w:pPr>
        <w:ind w:firstLine="640" w:firstLineChars="200"/>
        <w:rPr>
          <w:rFonts w:ascii="Times New Roman" w:hAnsi="Times New Roman"/>
          <w:sz w:val="32"/>
          <w:szCs w:val="32"/>
        </w:rPr>
      </w:pPr>
      <w:r>
        <w:rPr>
          <w:rFonts w:ascii="Times New Roman" w:hAnsi="Times New Roman"/>
          <w:sz w:val="32"/>
          <w:szCs w:val="32"/>
        </w:rPr>
        <w:t>“控温封闭站台”用于明确具有全封闭围护结构和温度调控能力、可承担收发货、分拣和待发暂存等作业的站台或连接空间，突出其减少食品暴露时间、降低冷量损失和保障作业环境温度的作用。</w:t>
      </w:r>
    </w:p>
    <w:p w14:paraId="1F19ED11">
      <w:pPr>
        <w:ind w:firstLine="640" w:firstLineChars="200"/>
        <w:rPr>
          <w:rFonts w:ascii="Times New Roman" w:hAnsi="Times New Roman"/>
          <w:sz w:val="32"/>
          <w:szCs w:val="32"/>
        </w:rPr>
      </w:pPr>
      <w:r>
        <w:rPr>
          <w:rFonts w:ascii="Times New Roman" w:hAnsi="Times New Roman"/>
          <w:sz w:val="32"/>
          <w:szCs w:val="32"/>
        </w:rPr>
        <w:t>与GB/T 38375—2019相比，本次修订删除“站台登车桥”“装卸门密封罩”等非核心术语；“流通加工”直接采用GB/T 18354中的相关定义，以保持物流术语的一致性，避免重复定义或改变基础术语含义。</w:t>
      </w:r>
    </w:p>
    <w:p w14:paraId="40A8623E">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4. 总体原则</w:t>
      </w:r>
    </w:p>
    <w:p w14:paraId="16CDBFCA">
      <w:pPr>
        <w:ind w:firstLine="640" w:firstLineChars="200"/>
        <w:rPr>
          <w:rFonts w:ascii="Times New Roman" w:hAnsi="Times New Roman"/>
          <w:sz w:val="32"/>
          <w:szCs w:val="32"/>
        </w:rPr>
      </w:pPr>
      <w:r>
        <w:rPr>
          <w:rFonts w:ascii="Times New Roman" w:hAnsi="Times New Roman"/>
          <w:sz w:val="32"/>
          <w:szCs w:val="32"/>
        </w:rPr>
        <w:t>总体原则提出食品低温配送中心规划设计宜遵循安全可靠、节约能源、环境友好、经济合理和先进适用的原则，统筹考虑建筑围护结构、制冷系统、装卸系统、自动化设备、能源系统和信息系统的协同优化，并宜开展全生命周期能耗与碳排放评估。</w:t>
      </w:r>
    </w:p>
    <w:p w14:paraId="6E4364FF">
      <w:pPr>
        <w:ind w:firstLine="640" w:firstLineChars="200"/>
        <w:rPr>
          <w:rFonts w:ascii="Times New Roman" w:hAnsi="Times New Roman"/>
          <w:sz w:val="32"/>
          <w:szCs w:val="32"/>
        </w:rPr>
      </w:pPr>
      <w:r>
        <w:rPr>
          <w:rFonts w:ascii="Times New Roman" w:hAnsi="Times New Roman"/>
          <w:sz w:val="32"/>
          <w:szCs w:val="32"/>
        </w:rPr>
        <w:t>同时，提出应科学确定用地和建设规模，统筹规划、分步实施，并具有一定扩展能力；宜开展物流工艺、建筑空间、自动化设备和信息系统一体化设计，实现作业可视化、温控可追溯、设备可联动和运营可优化；宜考虑公共卫生事件、极端天气、能源中断、交通中断和订单峰值波动等异常场景，配置必要的应急供电、制冷冗余、异常品隔离、应急作业通道和信息化应急管理条件。</w:t>
      </w:r>
    </w:p>
    <w:p w14:paraId="2A8688D1">
      <w:pPr>
        <w:ind w:firstLine="640" w:firstLineChars="200"/>
        <w:rPr>
          <w:rFonts w:ascii="Times New Roman" w:hAnsi="Times New Roman"/>
          <w:sz w:val="32"/>
          <w:szCs w:val="32"/>
        </w:rPr>
      </w:pPr>
      <w:r>
        <w:rPr>
          <w:rFonts w:ascii="Times New Roman" w:hAnsi="Times New Roman"/>
          <w:sz w:val="32"/>
          <w:szCs w:val="32"/>
        </w:rPr>
        <w:t>有关要求主要依据食品低温配送中心建设运营实践，以及食品安全、建筑防火、冷库设计、安全生产、绿色低碳和数字化转型等相关要求确定。</w:t>
      </w:r>
    </w:p>
    <w:p w14:paraId="063B8F46">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5. 规划设计</w:t>
      </w:r>
    </w:p>
    <w:p w14:paraId="35F41FA3">
      <w:pPr>
        <w:ind w:firstLine="640" w:firstLineChars="200"/>
        <w:rPr>
          <w:rFonts w:ascii="Times New Roman" w:hAnsi="Times New Roman"/>
          <w:sz w:val="32"/>
          <w:szCs w:val="32"/>
        </w:rPr>
      </w:pPr>
      <w:r>
        <w:rPr>
          <w:rFonts w:ascii="Times New Roman" w:hAnsi="Times New Roman"/>
          <w:sz w:val="32"/>
          <w:szCs w:val="32"/>
        </w:rPr>
        <w:t>项目准备部分包括需求调研、项目定位、项目选址和总体规划等内容。</w:t>
      </w:r>
    </w:p>
    <w:p w14:paraId="716E7452">
      <w:pPr>
        <w:ind w:firstLine="640" w:firstLineChars="200"/>
        <w:rPr>
          <w:rFonts w:ascii="Times New Roman" w:hAnsi="Times New Roman"/>
          <w:sz w:val="32"/>
          <w:szCs w:val="32"/>
        </w:rPr>
      </w:pPr>
      <w:r>
        <w:rPr>
          <w:rFonts w:ascii="Times New Roman" w:hAnsi="Times New Roman"/>
          <w:sz w:val="32"/>
          <w:szCs w:val="32"/>
        </w:rPr>
        <w:t>需求调研应结合城市规划、产业布局、客户分布、交通条件、基础设施和环保要求等因素开展；项目定位应综合产业、市场、客群、业务模式和服务需求，明确市场定位、目标客群和功能定位；项目选址应重点考虑配送半径、货车限行、能源供给、污染源、地质稳定性及基础保障条件；总体规划应统筹主体设施、核心功能区、温控系统、道路及动线、作业设备、能源与节能环保、安全与卫生、信息化与智能化等内容。</w:t>
      </w:r>
    </w:p>
    <w:p w14:paraId="35717243">
      <w:pPr>
        <w:ind w:firstLine="640" w:firstLineChars="200"/>
        <w:rPr>
          <w:rFonts w:ascii="Times New Roman" w:hAnsi="Times New Roman"/>
          <w:sz w:val="32"/>
          <w:szCs w:val="32"/>
        </w:rPr>
      </w:pPr>
      <w:r>
        <w:rPr>
          <w:rFonts w:ascii="Times New Roman" w:hAnsi="Times New Roman"/>
          <w:sz w:val="32"/>
          <w:szCs w:val="32"/>
        </w:rPr>
        <w:t>有关内容主要依据食品低温配送中心项目建设中市场需求、运营组织、投资成本、配送效率、食品安全、能源保障和后续扩展的实际需求确定，旨在提高规划设计的前瞻性、经济性和可实施性。</w:t>
      </w:r>
    </w:p>
    <w:p w14:paraId="5C395393">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6. 主体设施</w:t>
      </w:r>
    </w:p>
    <w:p w14:paraId="1E480313">
      <w:pPr>
        <w:ind w:firstLine="640" w:firstLineChars="200"/>
        <w:rPr>
          <w:rFonts w:ascii="Times New Roman" w:hAnsi="Times New Roman"/>
          <w:sz w:val="32"/>
          <w:szCs w:val="32"/>
        </w:rPr>
      </w:pPr>
      <w:r>
        <w:rPr>
          <w:rFonts w:ascii="Times New Roman" w:hAnsi="Times New Roman"/>
          <w:sz w:val="32"/>
          <w:szCs w:val="32"/>
        </w:rPr>
        <w:t>主体设施包括冷库建筑、物流建筑、作业车间、检测用房和配套用房等。</w:t>
      </w:r>
    </w:p>
    <w:p w14:paraId="4BAAAD1E">
      <w:pPr>
        <w:ind w:firstLine="640" w:firstLineChars="200"/>
        <w:rPr>
          <w:rFonts w:ascii="Times New Roman" w:hAnsi="Times New Roman"/>
          <w:sz w:val="32"/>
          <w:szCs w:val="32"/>
        </w:rPr>
      </w:pPr>
      <w:r>
        <w:rPr>
          <w:rFonts w:ascii="Times New Roman" w:hAnsi="Times New Roman"/>
          <w:sz w:val="32"/>
          <w:szCs w:val="32"/>
        </w:rPr>
        <w:t>冷库建筑应根据食品品类、存储方式、作业模式、自动化水平和投资运营成本，合理选择单层冷库、多层冷库、坡道冷库、自动化立体冷库、装配式冷库和前置型低温仓等形式；并考虑托盘、周转箱、笼车、料箱、保温箱等标准化物流载具，以及货架、叉车、堆垛机、穿梭车、输送设备、AGV、AMR等设备系统的适配性。</w:t>
      </w:r>
    </w:p>
    <w:p w14:paraId="6DC04118">
      <w:pPr>
        <w:ind w:firstLine="640" w:firstLineChars="200"/>
        <w:rPr>
          <w:rFonts w:ascii="Times New Roman" w:hAnsi="Times New Roman"/>
          <w:sz w:val="32"/>
          <w:szCs w:val="32"/>
        </w:rPr>
      </w:pPr>
      <w:r>
        <w:rPr>
          <w:rFonts w:ascii="Times New Roman" w:hAnsi="Times New Roman"/>
          <w:sz w:val="32"/>
          <w:szCs w:val="32"/>
        </w:rPr>
        <w:t>物流建筑及控温封闭站台应重点考虑围护结构保温隔热、气密性、防潮防霉、装卸门、门封、登车桥、快速门、空气幕和温控设备联动控制等要求，并结合车辆停靠方式、尾板车辆作业、站台尺寸、防雨篷、照明和月台管理等需求合理设计。</w:t>
      </w:r>
    </w:p>
    <w:p w14:paraId="038E36D3">
      <w:pPr>
        <w:ind w:firstLine="640" w:firstLineChars="200"/>
        <w:rPr>
          <w:rFonts w:ascii="Times New Roman" w:hAnsi="Times New Roman"/>
          <w:sz w:val="32"/>
          <w:szCs w:val="32"/>
        </w:rPr>
      </w:pPr>
      <w:r>
        <w:rPr>
          <w:rFonts w:ascii="Times New Roman" w:hAnsi="Times New Roman"/>
          <w:sz w:val="32"/>
          <w:szCs w:val="32"/>
        </w:rPr>
        <w:t>作业车间、检测用房和配套用房应根据食品品类、作业工艺、卫生要求、检测需求和业务规模设置，并与食品作业区保持合理关系。充电设施宜设置在室外停车区域或独立专用区域，并与冷库、物流作业区、可燃物堆放区、废弃物处理区和人员密集场所合理分隔。</w:t>
      </w:r>
    </w:p>
    <w:p w14:paraId="01D9EEEF">
      <w:pPr>
        <w:ind w:firstLine="640" w:firstLineChars="200"/>
        <w:rPr>
          <w:rFonts w:ascii="Times New Roman" w:hAnsi="Times New Roman"/>
          <w:sz w:val="32"/>
          <w:szCs w:val="32"/>
        </w:rPr>
      </w:pPr>
      <w:r>
        <w:rPr>
          <w:rFonts w:ascii="Times New Roman" w:hAnsi="Times New Roman"/>
          <w:sz w:val="32"/>
          <w:szCs w:val="32"/>
        </w:rPr>
        <w:t>有关内容依据冷库设计、物流建筑设计、食品卫生、充电设施安全和食品低温配送中心实际运营需求确定，旨在明确配送中心不同建筑实体和功能空间的配置关系。</w:t>
      </w:r>
    </w:p>
    <w:p w14:paraId="20AFF5BB">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7. 核心功能区</w:t>
      </w:r>
    </w:p>
    <w:p w14:paraId="1972D58A">
      <w:pPr>
        <w:ind w:firstLine="640" w:firstLineChars="200"/>
        <w:rPr>
          <w:rFonts w:ascii="Times New Roman" w:hAnsi="Times New Roman"/>
          <w:sz w:val="32"/>
          <w:szCs w:val="32"/>
        </w:rPr>
      </w:pPr>
      <w:r>
        <w:rPr>
          <w:rFonts w:ascii="Times New Roman" w:hAnsi="Times New Roman"/>
          <w:sz w:val="32"/>
          <w:szCs w:val="32"/>
        </w:rPr>
        <w:t>核心功能区宜包括收发货区、预冷区、存储区、流通加工区、分拣区、暂存区、装卸作业区、检测区、不良品暂存区、充电区和附属配套区等。配送中心可根据食品类别、业务规模、作业模式和场地条件，对有关功能区合并设置或独立设置。</w:t>
      </w:r>
    </w:p>
    <w:p w14:paraId="6576C800">
      <w:pPr>
        <w:ind w:firstLine="640" w:firstLineChars="200"/>
        <w:rPr>
          <w:rFonts w:ascii="Times New Roman" w:hAnsi="Times New Roman"/>
          <w:sz w:val="32"/>
          <w:szCs w:val="32"/>
        </w:rPr>
      </w:pPr>
      <w:r>
        <w:rPr>
          <w:rFonts w:ascii="Times New Roman" w:hAnsi="Times New Roman"/>
          <w:sz w:val="32"/>
          <w:szCs w:val="32"/>
        </w:rPr>
        <w:t>新增预冷区，适应生鲜农产品及其他对入库前或配送前预冷有需求的食品作业要求；预冷方式可根据食品特性选用冷风预冷、差压预冷、真空预冷、水预冷、冰预冷等方式。</w:t>
      </w:r>
    </w:p>
    <w:p w14:paraId="18E3A309">
      <w:pPr>
        <w:ind w:firstLine="640" w:firstLineChars="200"/>
        <w:rPr>
          <w:rFonts w:ascii="Times New Roman" w:hAnsi="Times New Roman"/>
          <w:sz w:val="32"/>
          <w:szCs w:val="32"/>
        </w:rPr>
      </w:pPr>
      <w:r>
        <w:rPr>
          <w:rFonts w:ascii="Times New Roman" w:hAnsi="Times New Roman"/>
          <w:sz w:val="32"/>
          <w:szCs w:val="32"/>
        </w:rPr>
        <w:t>存储区应根据食品不同存储需求合理设置，并统筹温湿度采集点、光照控制和存储规模。冷冻食品储存环境温度宜不高于－18 ℃，冷藏食品储存环境温度宜为0 ℃～10 ℃；其他温区宜根据GB/T 28577、食品标签标示、相关食品安全标准及实际业务需求确定。</w:t>
      </w:r>
    </w:p>
    <w:p w14:paraId="6FF24D7C">
      <w:pPr>
        <w:ind w:firstLine="640" w:firstLineChars="200"/>
        <w:rPr>
          <w:rFonts w:ascii="Times New Roman" w:hAnsi="Times New Roman"/>
          <w:sz w:val="32"/>
          <w:szCs w:val="32"/>
        </w:rPr>
      </w:pPr>
      <w:r>
        <w:rPr>
          <w:rFonts w:ascii="Times New Roman" w:hAnsi="Times New Roman"/>
          <w:sz w:val="32"/>
          <w:szCs w:val="32"/>
        </w:rPr>
        <w:t>暂存区宜靠近发货区或控温封闭站台设置，可承担待发、待分拣、待转运及可再销售退货食品等暂存功能。对温度异常、包装破损、待检、待判定或不合格食品，应采取专用暂存、隔离和明显标识等措施。</w:t>
      </w:r>
    </w:p>
    <w:p w14:paraId="3D93773F">
      <w:pPr>
        <w:ind w:firstLine="640" w:firstLineChars="200"/>
        <w:rPr>
          <w:rFonts w:ascii="Times New Roman" w:hAnsi="Times New Roman"/>
          <w:sz w:val="32"/>
          <w:szCs w:val="32"/>
        </w:rPr>
      </w:pPr>
      <w:r>
        <w:rPr>
          <w:rFonts w:ascii="Times New Roman" w:hAnsi="Times New Roman"/>
          <w:sz w:val="32"/>
          <w:szCs w:val="32"/>
        </w:rPr>
        <w:t>不良品暂存区宜独立设置或采取有效隔离措施，主要用于暂存过期、变质、污染、严重包装破损或其他不具备销售条件的食品，防止与正常食品交叉污染。相关区域应满足标识、隔离、清洁和废弃物处置要求。</w:t>
      </w:r>
    </w:p>
    <w:p w14:paraId="5D5286A0">
      <w:pPr>
        <w:ind w:firstLine="640" w:firstLineChars="200"/>
        <w:rPr>
          <w:rFonts w:ascii="Times New Roman" w:hAnsi="Times New Roman"/>
          <w:sz w:val="32"/>
          <w:szCs w:val="32"/>
        </w:rPr>
      </w:pPr>
      <w:r>
        <w:rPr>
          <w:rFonts w:ascii="Times New Roman" w:hAnsi="Times New Roman"/>
          <w:sz w:val="32"/>
          <w:szCs w:val="32"/>
        </w:rPr>
        <w:t>有关内容根据食品低温配送中心作业组织、食品安全控制、异常食品处置和配送业务需求确定，旨在提高功能布局完整性、食品安全保障能力和作业效率。</w:t>
      </w:r>
    </w:p>
    <w:p w14:paraId="420380B1">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8. 温控系统</w:t>
      </w:r>
    </w:p>
    <w:p w14:paraId="1B6CD49A">
      <w:pPr>
        <w:ind w:firstLine="640" w:firstLineChars="200"/>
        <w:rPr>
          <w:rFonts w:ascii="Times New Roman" w:hAnsi="Times New Roman"/>
          <w:sz w:val="32"/>
          <w:szCs w:val="32"/>
        </w:rPr>
      </w:pPr>
      <w:r>
        <w:rPr>
          <w:rFonts w:ascii="Times New Roman" w:hAnsi="Times New Roman"/>
          <w:sz w:val="32"/>
          <w:szCs w:val="32"/>
        </w:rPr>
        <w:t>本文件增加温控系统内容，要求根据食品品类、业务形态、冷负荷和温湿度要求，合理配置制冷、温湿度监测、数据采集、异常报警和信息记录等设施设备，并合理布置温湿度采集点。</w:t>
      </w:r>
    </w:p>
    <w:p w14:paraId="3924EAAB">
      <w:pPr>
        <w:ind w:firstLine="640" w:firstLineChars="200"/>
        <w:rPr>
          <w:rFonts w:ascii="Times New Roman" w:hAnsi="Times New Roman"/>
          <w:sz w:val="32"/>
          <w:szCs w:val="32"/>
        </w:rPr>
      </w:pPr>
      <w:r>
        <w:rPr>
          <w:rFonts w:ascii="Times New Roman" w:hAnsi="Times New Roman"/>
          <w:sz w:val="32"/>
          <w:szCs w:val="32"/>
        </w:rPr>
        <w:t>温控系统宜具备实时传感、异常报警、数据追溯和数据备存等功能；规划设计阶段应考虑温度失控情况下的应急处置条件，包括备用供电、制冷冗余、食品隔离、温度监测和信息报告等。</w:t>
      </w:r>
    </w:p>
    <w:p w14:paraId="584B69FA">
      <w:pPr>
        <w:ind w:firstLine="640" w:firstLineChars="200"/>
        <w:rPr>
          <w:rFonts w:ascii="Times New Roman" w:hAnsi="Times New Roman"/>
          <w:sz w:val="32"/>
          <w:szCs w:val="32"/>
        </w:rPr>
      </w:pPr>
      <w:r>
        <w:rPr>
          <w:rFonts w:ascii="Times New Roman" w:hAnsi="Times New Roman"/>
          <w:sz w:val="32"/>
          <w:szCs w:val="32"/>
        </w:rPr>
        <w:t>有关内容依据食品低温配送中心温度控制和食品品质保障需求确定。单独设置温控系统相关内容，有利于在规划设计阶段统筹制冷系统、监测系统、报警系统、数据管理和应急保障，降低食品温度失控和货损风险。</w:t>
      </w:r>
    </w:p>
    <w:p w14:paraId="602D7D13">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9. 道路及动线</w:t>
      </w:r>
    </w:p>
    <w:p w14:paraId="4C243943">
      <w:pPr>
        <w:ind w:firstLine="640" w:firstLineChars="200"/>
        <w:rPr>
          <w:rFonts w:ascii="Times New Roman" w:hAnsi="Times New Roman"/>
          <w:sz w:val="32"/>
          <w:szCs w:val="32"/>
        </w:rPr>
      </w:pPr>
      <w:r>
        <w:rPr>
          <w:rFonts w:ascii="Times New Roman" w:hAnsi="Times New Roman"/>
          <w:sz w:val="32"/>
          <w:szCs w:val="32"/>
        </w:rPr>
        <w:t>道路规划应符合GB/T 28581的有关要求。物流动线应结合食品安全、温控要求和作业效率进行规划，宜采用单向循环方式，减少交叉、迂回和重复搬运。</w:t>
      </w:r>
    </w:p>
    <w:p w14:paraId="24B5A6BE">
      <w:pPr>
        <w:ind w:firstLine="640" w:firstLineChars="200"/>
        <w:rPr>
          <w:rFonts w:ascii="Times New Roman" w:hAnsi="Times New Roman"/>
          <w:sz w:val="32"/>
          <w:szCs w:val="32"/>
        </w:rPr>
      </w:pPr>
      <w:r>
        <w:rPr>
          <w:rFonts w:ascii="Times New Roman" w:hAnsi="Times New Roman"/>
          <w:sz w:val="32"/>
          <w:szCs w:val="32"/>
        </w:rPr>
        <w:t>物流动线应统筹考虑收货、验收、入库、存储、分拣、流通加工、出库、配送、退货、异常食品处置、物流载具和废弃物等作业需求，实现原料与成品、生品与熟品、洁净物与污染物、正常品与异常品、正向物流与逆向物流之间的有效分隔。</w:t>
      </w:r>
    </w:p>
    <w:p w14:paraId="67CA93F9">
      <w:pPr>
        <w:ind w:firstLine="640" w:firstLineChars="200"/>
        <w:rPr>
          <w:rFonts w:ascii="Times New Roman" w:hAnsi="Times New Roman"/>
          <w:sz w:val="32"/>
          <w:szCs w:val="32"/>
        </w:rPr>
      </w:pPr>
      <w:r>
        <w:rPr>
          <w:rFonts w:ascii="Times New Roman" w:hAnsi="Times New Roman"/>
          <w:sz w:val="32"/>
          <w:szCs w:val="32"/>
        </w:rPr>
        <w:t>人流动线宜与物流动线分隔；确需并行设置的，应通过清晰标识、防护设施和必要的管理条件进行区分，降低人员、车辆和货物交叉带来的安全及食品污染风险。</w:t>
      </w:r>
    </w:p>
    <w:p w14:paraId="619BA633">
      <w:pPr>
        <w:ind w:firstLine="640" w:firstLineChars="200"/>
        <w:rPr>
          <w:rFonts w:ascii="Times New Roman" w:hAnsi="Times New Roman"/>
          <w:sz w:val="32"/>
          <w:szCs w:val="32"/>
        </w:rPr>
      </w:pPr>
      <w:r>
        <w:rPr>
          <w:rFonts w:ascii="Times New Roman" w:hAnsi="Times New Roman"/>
          <w:sz w:val="32"/>
          <w:szCs w:val="32"/>
        </w:rPr>
        <w:t>有关内容是在原标准“动线最短、搬运工作量最小、食品温度损失最小”原则基础上的完善，充分考虑了食品低温配送中心实际场地条件和逆向物流、异常食品管理等需求。</w:t>
      </w:r>
    </w:p>
    <w:p w14:paraId="2B43DE33">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10. 作业设备选用</w:t>
      </w:r>
    </w:p>
    <w:p w14:paraId="65B0250A">
      <w:pPr>
        <w:ind w:firstLine="640" w:firstLineChars="200"/>
        <w:rPr>
          <w:rFonts w:ascii="Times New Roman" w:hAnsi="Times New Roman"/>
          <w:sz w:val="32"/>
          <w:szCs w:val="32"/>
        </w:rPr>
      </w:pPr>
      <w:r>
        <w:rPr>
          <w:rFonts w:ascii="Times New Roman" w:hAnsi="Times New Roman"/>
          <w:sz w:val="32"/>
          <w:szCs w:val="32"/>
        </w:rPr>
        <w:t>本文件将原“作业设备选用”内容进一步完善，包括预冷设备、存储设备、分拣设备、搬运设备、流通加工设备、物流容器、检测设备及网络和信息化设备等。</w:t>
      </w:r>
    </w:p>
    <w:p w14:paraId="3189DAA8">
      <w:pPr>
        <w:ind w:firstLine="640" w:firstLineChars="200"/>
        <w:rPr>
          <w:rFonts w:ascii="Times New Roman" w:hAnsi="Times New Roman"/>
          <w:sz w:val="32"/>
          <w:szCs w:val="32"/>
        </w:rPr>
      </w:pPr>
      <w:r>
        <w:rPr>
          <w:rFonts w:ascii="Times New Roman" w:hAnsi="Times New Roman"/>
          <w:sz w:val="32"/>
          <w:szCs w:val="32"/>
        </w:rPr>
        <w:t>预冷设备应与食品特性相适应；存储设备可根据食品存储需求、作业规模和投资运营成本选用货架、自动化立体存储系统、四向穿梭车密集存储系统等；搬运设备可选用叉车、手动搬运车、输送设备、AGV、AMR等；物流容器可包括保温箱、周转箱（筐）、托盘和笼车等；分拣和流通加工设备可包括电子标签、手持扫描设备、自动分拣设备、流水线设备、包装机和贴标机等。</w:t>
      </w:r>
    </w:p>
    <w:p w14:paraId="109639B3">
      <w:pPr>
        <w:ind w:firstLine="640" w:firstLineChars="200"/>
        <w:rPr>
          <w:rFonts w:ascii="Times New Roman" w:hAnsi="Times New Roman"/>
          <w:sz w:val="32"/>
          <w:szCs w:val="32"/>
        </w:rPr>
      </w:pPr>
      <w:r>
        <w:rPr>
          <w:rFonts w:ascii="Times New Roman" w:hAnsi="Times New Roman"/>
          <w:sz w:val="32"/>
          <w:szCs w:val="32"/>
        </w:rPr>
        <w:t>有关内容依据食品低温配送中心自动化、智能化、标准化载具应用和投资运营成本控制的发展趋势确定，旨在提高设施设备与食品特性、作业规模、建筑空间和信息系统之间的适配性。</w:t>
      </w:r>
    </w:p>
    <w:p w14:paraId="6E303342">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11. 能源与节能环保</w:t>
      </w:r>
    </w:p>
    <w:p w14:paraId="4A2B63C3">
      <w:pPr>
        <w:ind w:firstLine="640" w:firstLineChars="200"/>
        <w:rPr>
          <w:rFonts w:ascii="Times New Roman" w:hAnsi="Times New Roman"/>
          <w:sz w:val="32"/>
          <w:szCs w:val="32"/>
        </w:rPr>
      </w:pPr>
      <w:r>
        <w:rPr>
          <w:rFonts w:ascii="Times New Roman" w:hAnsi="Times New Roman"/>
          <w:sz w:val="32"/>
          <w:szCs w:val="32"/>
        </w:rPr>
        <w:t>本文件增加能源与节能环保相关内容，包括能源规划、节能措施和环保要求。</w:t>
      </w:r>
    </w:p>
    <w:p w14:paraId="7D9F022F">
      <w:pPr>
        <w:ind w:firstLine="640" w:firstLineChars="200"/>
        <w:rPr>
          <w:rFonts w:ascii="Times New Roman" w:hAnsi="Times New Roman"/>
          <w:sz w:val="32"/>
          <w:szCs w:val="32"/>
        </w:rPr>
      </w:pPr>
      <w:r>
        <w:rPr>
          <w:rFonts w:ascii="Times New Roman" w:hAnsi="Times New Roman"/>
          <w:sz w:val="32"/>
          <w:szCs w:val="32"/>
        </w:rPr>
        <w:t>能源规划应结合功能区用能特点、冷负荷、业务峰谷规律及自动化设备、新能源配送车辆和充电设施等需求，统筹供配电、制冷、给排水、储能及新能源接入条件，并预留设备扩容条件。具备条件时，可合理采用分布式光伏发电、电力储能等设施，提高削峰填谷、应急保供和新能源消纳能力。</w:t>
      </w:r>
    </w:p>
    <w:p w14:paraId="5823B6D0">
      <w:pPr>
        <w:ind w:firstLine="640" w:firstLineChars="200"/>
        <w:rPr>
          <w:rFonts w:ascii="Times New Roman" w:hAnsi="Times New Roman"/>
          <w:sz w:val="32"/>
          <w:szCs w:val="32"/>
        </w:rPr>
      </w:pPr>
      <w:r>
        <w:rPr>
          <w:rFonts w:ascii="Times New Roman" w:hAnsi="Times New Roman"/>
          <w:sz w:val="32"/>
          <w:szCs w:val="32"/>
        </w:rPr>
        <w:t>节能方面，宜采用保温隔热性能良好的围护结构、冷库门和门封，合理使用快速门、空气幕和门区联动控制；制冷系统宜采用高效制冷设备、变频制冷机组、热回收、地源热泵、自动调节和智慧节能管理等技术。</w:t>
      </w:r>
    </w:p>
    <w:p w14:paraId="6D293F92">
      <w:pPr>
        <w:ind w:firstLine="640" w:firstLineChars="200"/>
        <w:rPr>
          <w:rFonts w:ascii="Times New Roman" w:hAnsi="Times New Roman"/>
          <w:sz w:val="32"/>
          <w:szCs w:val="32"/>
        </w:rPr>
      </w:pPr>
      <w:r>
        <w:rPr>
          <w:rFonts w:ascii="Times New Roman" w:hAnsi="Times New Roman"/>
          <w:sz w:val="32"/>
          <w:szCs w:val="32"/>
        </w:rPr>
        <w:t>环保方面，宜选用环境影响较小的制冷剂、制冷工艺和设备，合理设置废弃物收集、分类、暂存和清运场所，推广可循环使用、可再利用或易回收的物流容器和包装材料。</w:t>
      </w:r>
    </w:p>
    <w:p w14:paraId="6278C776">
      <w:pPr>
        <w:ind w:firstLine="640" w:firstLineChars="200"/>
        <w:rPr>
          <w:rFonts w:ascii="Times New Roman" w:hAnsi="Times New Roman"/>
          <w:sz w:val="32"/>
          <w:szCs w:val="32"/>
        </w:rPr>
      </w:pPr>
      <w:r>
        <w:rPr>
          <w:rFonts w:ascii="Times New Roman" w:hAnsi="Times New Roman"/>
          <w:sz w:val="32"/>
          <w:szCs w:val="32"/>
        </w:rPr>
        <w:t>有关内容主要依据冷库和低温配送中心能耗特点、“双碳”发展要求、企业节能降本需求及新能源技术应用趋势确定。</w:t>
      </w:r>
    </w:p>
    <w:p w14:paraId="4E88EAC9">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12. 安全与卫生</w:t>
      </w:r>
    </w:p>
    <w:p w14:paraId="75A3F097">
      <w:pPr>
        <w:ind w:firstLine="640" w:firstLineChars="200"/>
        <w:rPr>
          <w:rFonts w:ascii="Times New Roman" w:hAnsi="Times New Roman"/>
          <w:sz w:val="32"/>
          <w:szCs w:val="32"/>
        </w:rPr>
      </w:pPr>
      <w:r>
        <w:rPr>
          <w:rFonts w:ascii="Times New Roman" w:hAnsi="Times New Roman"/>
          <w:sz w:val="32"/>
          <w:szCs w:val="32"/>
        </w:rPr>
        <w:t>本文件增加安全与卫生相关内容，提出低温配送中心宜根据冷负荷、业务连续性和食品安全风险，合理配置双回路供电、备用电源或应急供电设施，并宜设置必要的制冷系统冗余。</w:t>
      </w:r>
    </w:p>
    <w:p w14:paraId="2D51CD50">
      <w:pPr>
        <w:ind w:firstLine="640" w:firstLineChars="200"/>
        <w:rPr>
          <w:rFonts w:ascii="Times New Roman" w:hAnsi="Times New Roman"/>
          <w:sz w:val="32"/>
          <w:szCs w:val="32"/>
        </w:rPr>
      </w:pPr>
      <w:r>
        <w:rPr>
          <w:rFonts w:ascii="Times New Roman" w:hAnsi="Times New Roman"/>
          <w:sz w:val="32"/>
          <w:szCs w:val="32"/>
        </w:rPr>
        <w:t>冷库、控温封闭站台、制冷机房、充电区等区域应设置安全警示、防滑、防撞、应急照明、应急断电、防困人、消防和疏散等安全设施。食品作业区应根据食品类别、卫生要求和作业流程合理布局，设置清洁消毒、排水通风、废弃物暂存及防鼠、防虫、防蝇等设施，防止交叉污染。</w:t>
      </w:r>
    </w:p>
    <w:p w14:paraId="363E44AA">
      <w:pPr>
        <w:ind w:firstLine="640" w:firstLineChars="200"/>
        <w:rPr>
          <w:rFonts w:ascii="Times New Roman" w:hAnsi="Times New Roman"/>
          <w:sz w:val="32"/>
          <w:szCs w:val="32"/>
        </w:rPr>
      </w:pPr>
      <w:r>
        <w:rPr>
          <w:rFonts w:ascii="Times New Roman" w:hAnsi="Times New Roman"/>
          <w:sz w:val="32"/>
          <w:szCs w:val="32"/>
        </w:rPr>
        <w:t>有关内容与食品安全、食品冷链物流卫生、食品经营过程卫生、建筑防火和安全生产相关要求相衔接，旨在将食品卫生、人员安全、设施安全和应急保障要求纳入规划设计全过程。</w:t>
      </w:r>
    </w:p>
    <w:p w14:paraId="0DDCF5FE">
      <w:pPr>
        <w:ind w:firstLine="643" w:firstLineChars="200"/>
        <w:outlineLvl w:val="2"/>
        <w:rPr>
          <w:rFonts w:ascii="Times New Roman" w:hAnsi="Times New Roman" w:eastAsia="楷体_GB2312"/>
          <w:b/>
          <w:bCs/>
          <w:sz w:val="32"/>
          <w:szCs w:val="32"/>
        </w:rPr>
      </w:pPr>
      <w:r>
        <w:rPr>
          <w:rFonts w:ascii="Times New Roman" w:hAnsi="Times New Roman" w:eastAsia="楷体_GB2312"/>
          <w:b/>
          <w:bCs/>
          <w:sz w:val="32"/>
          <w:szCs w:val="32"/>
        </w:rPr>
        <w:t>13. 信息化与智能化</w:t>
      </w:r>
    </w:p>
    <w:p w14:paraId="70D5C8A5">
      <w:pPr>
        <w:ind w:firstLine="640" w:firstLineChars="200"/>
        <w:rPr>
          <w:rFonts w:ascii="Times New Roman" w:hAnsi="Times New Roman"/>
          <w:sz w:val="32"/>
          <w:szCs w:val="32"/>
        </w:rPr>
      </w:pPr>
      <w:r>
        <w:rPr>
          <w:rFonts w:ascii="Times New Roman" w:hAnsi="Times New Roman"/>
          <w:sz w:val="32"/>
          <w:szCs w:val="32"/>
        </w:rPr>
        <w:t>本文件将原“信息化管理”调整为“信息化与智能化”，提出在各功能区域配置温度测量与传感、温度报警、视频监控和智能识别等设施设备，并与信息管理系统实现对接。</w:t>
      </w:r>
    </w:p>
    <w:p w14:paraId="547F44B2">
      <w:pPr>
        <w:ind w:firstLine="640" w:firstLineChars="200"/>
        <w:rPr>
          <w:rFonts w:ascii="Times New Roman" w:hAnsi="Times New Roman"/>
          <w:sz w:val="32"/>
          <w:szCs w:val="32"/>
        </w:rPr>
      </w:pPr>
      <w:r>
        <w:rPr>
          <w:rFonts w:ascii="Times New Roman" w:hAnsi="Times New Roman"/>
          <w:sz w:val="32"/>
          <w:szCs w:val="32"/>
        </w:rPr>
        <w:t>信息管理系统可包括仓库管理系统（WMS）、运输管理系统（TMS）、订单管理系统（OMS）、车辆及人员管理系统等；配备自动化设备的配送中心宜采用仓储控制系统（WCS）、物联网（IoT）等技术，实现自动化设备、温控设备和业务管理系统协同运行。系统宜预留与客户、供应商之间的数据接口，满足供应链协同需求。</w:t>
      </w:r>
    </w:p>
    <w:p w14:paraId="317B4A17">
      <w:pPr>
        <w:ind w:firstLine="640" w:firstLineChars="200"/>
        <w:rPr>
          <w:rFonts w:ascii="Times New Roman" w:hAnsi="Times New Roman"/>
          <w:sz w:val="32"/>
          <w:szCs w:val="32"/>
        </w:rPr>
      </w:pPr>
      <w:r>
        <w:rPr>
          <w:rFonts w:ascii="Times New Roman" w:hAnsi="Times New Roman"/>
          <w:sz w:val="32"/>
          <w:szCs w:val="32"/>
        </w:rPr>
        <w:t>智能化应用可包括自动化仓储、智能识别、门禁与安防、物业管理、消防管理和智慧能源管理等功能。食品冷链追溯的信息采集和记录应符合GB/T 28843的有关要求。</w:t>
      </w:r>
    </w:p>
    <w:p w14:paraId="4ED4FAFC">
      <w:pPr>
        <w:ind w:firstLine="640" w:firstLineChars="200"/>
        <w:rPr>
          <w:rFonts w:ascii="Times New Roman" w:hAnsi="Times New Roman"/>
          <w:sz w:val="32"/>
          <w:szCs w:val="32"/>
        </w:rPr>
      </w:pPr>
      <w:r>
        <w:rPr>
          <w:rFonts w:ascii="Times New Roman" w:hAnsi="Times New Roman"/>
          <w:sz w:val="32"/>
          <w:szCs w:val="32"/>
        </w:rPr>
        <w:t>有关内容依据食品低温配送中心数字化转型、智能化运行和食品冷链追溯管理需求确定，旨在提升温度监控、作业管理、设备联动、能耗管理、异常预警和全过程追溯能力。</w:t>
      </w:r>
    </w:p>
    <w:p w14:paraId="4F2952AB">
      <w:pPr>
        <w:ind w:firstLine="643" w:firstLineChars="200"/>
        <w:outlineLvl w:val="1"/>
        <w:rPr>
          <w:b/>
          <w:bCs/>
          <w:sz w:val="32"/>
          <w:szCs w:val="32"/>
        </w:rPr>
      </w:pPr>
      <w:r>
        <w:rPr>
          <w:rFonts w:hint="eastAsia"/>
          <w:b/>
          <w:bCs/>
          <w:sz w:val="32"/>
          <w:szCs w:val="32"/>
        </w:rPr>
        <w:t>（三）修订前后技术内容的对比</w:t>
      </w:r>
    </w:p>
    <w:p w14:paraId="47FEB2F1">
      <w:pPr>
        <w:ind w:firstLine="640" w:firstLineChars="200"/>
        <w:rPr>
          <w:rFonts w:ascii="Times New Roman" w:hAnsi="Times New Roman"/>
          <w:sz w:val="32"/>
          <w:szCs w:val="32"/>
        </w:rPr>
      </w:pPr>
      <w:r>
        <w:rPr>
          <w:rFonts w:ascii="Times New Roman" w:hAnsi="Times New Roman"/>
          <w:sz w:val="32"/>
          <w:szCs w:val="32"/>
        </w:rPr>
        <w:t>与GB/T 38375—2019相比，本次修订在保持标准适用范围和总体定位基本一致的基础上，围绕食品低温配送中心的配送属性、综合作业属性和全过程温控，对标准结构、术语定义、主体设施、功能分区、温控系统、道路及动线、作业设备、能源与节能环保、安全与卫生、信息化与智能化等内容进行了完善。</w:t>
      </w:r>
    </w:p>
    <w:p w14:paraId="787A1034">
      <w:pPr>
        <w:ind w:firstLine="643" w:firstLineChars="200"/>
        <w:rPr>
          <w:rFonts w:ascii="Times New Roman" w:hAnsi="Times New Roman"/>
          <w:sz w:val="32"/>
          <w:szCs w:val="32"/>
        </w:rPr>
      </w:pPr>
      <w:r>
        <w:rPr>
          <w:rFonts w:ascii="Times New Roman" w:hAnsi="Times New Roman"/>
          <w:b/>
          <w:bCs/>
          <w:sz w:val="32"/>
          <w:szCs w:val="32"/>
        </w:rPr>
        <w:t>更改了标准的规划设计</w:t>
      </w:r>
      <w:r>
        <w:rPr>
          <w:rFonts w:hint="eastAsia" w:ascii="Times New Roman" w:hAnsi="Times New Roman"/>
          <w:b/>
          <w:bCs/>
          <w:sz w:val="32"/>
          <w:szCs w:val="32"/>
        </w:rPr>
        <w:t>结构</w:t>
      </w:r>
      <w:r>
        <w:rPr>
          <w:rFonts w:ascii="Times New Roman" w:hAnsi="Times New Roman"/>
          <w:b/>
          <w:bCs/>
          <w:sz w:val="32"/>
          <w:szCs w:val="32"/>
        </w:rPr>
        <w:t>。</w:t>
      </w:r>
      <w:r>
        <w:rPr>
          <w:rFonts w:ascii="Times New Roman" w:hAnsi="Times New Roman"/>
          <w:sz w:val="32"/>
          <w:szCs w:val="32"/>
        </w:rPr>
        <w:t>将规划设计</w:t>
      </w:r>
      <w:r>
        <w:rPr>
          <w:rFonts w:hint="eastAsia" w:ascii="Times New Roman" w:hAnsi="Times New Roman"/>
          <w:sz w:val="32"/>
          <w:szCs w:val="32"/>
        </w:rPr>
        <w:t>结构</w:t>
      </w:r>
      <w:r>
        <w:rPr>
          <w:rFonts w:ascii="Times New Roman" w:hAnsi="Times New Roman"/>
          <w:sz w:val="32"/>
          <w:szCs w:val="32"/>
        </w:rPr>
        <w:t>细化为需求调研、项目定位、项目选址和总体规划，并将主体设施、核心功能区、温控系统、道路及动线、作业设备、能源与节能环保、安全与卫生、信息化与智能化等纳入规划设计范围，使标准更加符合食品低温配送中心由传统仓储、分拨设施向预冷、仓储、分拣、加工、检测、配送和信息服务一体化节点发展的实际情况。主要</w:t>
      </w:r>
      <w:r>
        <w:rPr>
          <w:rFonts w:hint="eastAsia" w:ascii="Times New Roman" w:hAnsi="Times New Roman"/>
          <w:sz w:val="32"/>
          <w:szCs w:val="32"/>
        </w:rPr>
        <w:t>修改技术内容及确定依据</w:t>
      </w:r>
      <w:r>
        <w:rPr>
          <w:rFonts w:ascii="Times New Roman" w:hAnsi="Times New Roman"/>
          <w:sz w:val="32"/>
          <w:szCs w:val="32"/>
        </w:rPr>
        <w:t>如下</w:t>
      </w:r>
      <w:r>
        <w:rPr>
          <w:rFonts w:hint="eastAsia" w:ascii="Times New Roman" w:hAnsi="Times New Roman"/>
          <w:sz w:val="32"/>
          <w:szCs w:val="32"/>
        </w:rPr>
        <w:t>表</w:t>
      </w:r>
      <w:r>
        <w:rPr>
          <w:rFonts w:ascii="Times New Roman" w:hAnsi="Times New Roman"/>
          <w:sz w:val="32"/>
          <w:szCs w:val="32"/>
        </w:rPr>
        <w:t>：</w:t>
      </w:r>
    </w:p>
    <w:p w14:paraId="243F4C8D">
      <w:pPr>
        <w:jc w:val="center"/>
        <w:rPr>
          <w:rFonts w:ascii="Times New Roman" w:hAnsi="Times New Roman"/>
          <w:sz w:val="32"/>
          <w:szCs w:val="32"/>
        </w:rPr>
      </w:pPr>
      <w:r>
        <w:rPr>
          <w:rFonts w:hint="eastAsia" w:ascii="Times New Roman" w:hAnsi="Times New Roman"/>
          <w:sz w:val="32"/>
          <w:szCs w:val="32"/>
        </w:rPr>
        <w:t>表2 修订标准与原标准技术变化对比</w:t>
      </w:r>
    </w:p>
    <w:tbl>
      <w:tblPr>
        <w:tblStyle w:val="8"/>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706"/>
        <w:gridCol w:w="3046"/>
        <w:gridCol w:w="2410"/>
        <w:gridCol w:w="2268"/>
      </w:tblGrid>
      <w:tr w14:paraId="6FFD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gridSpan w:val="2"/>
            <w:vAlign w:val="center"/>
          </w:tcPr>
          <w:p w14:paraId="58B5BE07">
            <w:pPr>
              <w:adjustRightInd w:val="0"/>
              <w:snapToGrid w:val="0"/>
              <w:jc w:val="center"/>
              <w:rPr>
                <w:rFonts w:ascii="Times New Roman" w:hAnsi="Times New Roman"/>
                <w:b/>
                <w:bCs/>
                <w:sz w:val="28"/>
                <w:szCs w:val="28"/>
              </w:rPr>
            </w:pPr>
            <w:r>
              <w:rPr>
                <w:rFonts w:hint="eastAsia" w:ascii="Times New Roman" w:hAnsi="Times New Roman"/>
                <w:b/>
                <w:bCs/>
                <w:sz w:val="28"/>
                <w:szCs w:val="28"/>
              </w:rPr>
              <w:t>条款编号</w:t>
            </w:r>
          </w:p>
        </w:tc>
        <w:tc>
          <w:tcPr>
            <w:tcW w:w="3046" w:type="dxa"/>
            <w:vAlign w:val="center"/>
          </w:tcPr>
          <w:p w14:paraId="46E4958E">
            <w:pPr>
              <w:adjustRightInd w:val="0"/>
              <w:snapToGrid w:val="0"/>
              <w:jc w:val="center"/>
              <w:rPr>
                <w:rFonts w:ascii="Times New Roman" w:hAnsi="Times New Roman"/>
                <w:b/>
                <w:bCs/>
                <w:sz w:val="28"/>
                <w:szCs w:val="28"/>
              </w:rPr>
            </w:pPr>
            <w:r>
              <w:rPr>
                <w:rFonts w:hint="eastAsia" w:ascii="Times New Roman" w:hAnsi="Times New Roman"/>
                <w:b/>
                <w:bCs/>
                <w:sz w:val="28"/>
                <w:szCs w:val="28"/>
              </w:rPr>
              <w:t>现版本内容</w:t>
            </w:r>
          </w:p>
        </w:tc>
        <w:tc>
          <w:tcPr>
            <w:tcW w:w="2410" w:type="dxa"/>
            <w:vAlign w:val="center"/>
          </w:tcPr>
          <w:p w14:paraId="4A4A5515">
            <w:pPr>
              <w:adjustRightInd w:val="0"/>
              <w:snapToGrid w:val="0"/>
              <w:jc w:val="center"/>
              <w:rPr>
                <w:rFonts w:ascii="Times New Roman" w:hAnsi="Times New Roman"/>
                <w:b/>
                <w:bCs/>
                <w:sz w:val="28"/>
                <w:szCs w:val="28"/>
              </w:rPr>
            </w:pPr>
            <w:r>
              <w:rPr>
                <w:rFonts w:hint="eastAsia" w:ascii="Times New Roman" w:hAnsi="Times New Roman"/>
                <w:b/>
                <w:bCs/>
                <w:sz w:val="28"/>
                <w:szCs w:val="28"/>
              </w:rPr>
              <w:t>原版本内容</w:t>
            </w:r>
          </w:p>
        </w:tc>
        <w:tc>
          <w:tcPr>
            <w:tcW w:w="2268" w:type="dxa"/>
            <w:vAlign w:val="center"/>
          </w:tcPr>
          <w:p w14:paraId="20AEE112">
            <w:pPr>
              <w:adjustRightInd w:val="0"/>
              <w:snapToGrid w:val="0"/>
              <w:jc w:val="center"/>
              <w:rPr>
                <w:rFonts w:ascii="Times New Roman" w:hAnsi="Times New Roman"/>
                <w:b/>
                <w:bCs/>
                <w:sz w:val="28"/>
                <w:szCs w:val="28"/>
              </w:rPr>
            </w:pPr>
            <w:r>
              <w:rPr>
                <w:rFonts w:hint="eastAsia" w:ascii="Times New Roman" w:hAnsi="Times New Roman"/>
                <w:b/>
                <w:bCs/>
                <w:sz w:val="28"/>
                <w:szCs w:val="28"/>
              </w:rPr>
              <w:t>新旧标准变化内容</w:t>
            </w:r>
          </w:p>
        </w:tc>
      </w:tr>
      <w:tr w14:paraId="0D92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gridSpan w:val="2"/>
            <w:vAlign w:val="center"/>
          </w:tcPr>
          <w:p w14:paraId="16B59C9F">
            <w:pPr>
              <w:jc w:val="center"/>
              <w:rPr>
                <w:rFonts w:ascii="Times New Roman" w:hAnsi="Times New Roman"/>
                <w:sz w:val="28"/>
                <w:szCs w:val="28"/>
              </w:rPr>
            </w:pPr>
            <w:r>
              <w:rPr>
                <w:rFonts w:hint="eastAsia" w:ascii="Times New Roman" w:hAnsi="Times New Roman"/>
                <w:sz w:val="28"/>
                <w:szCs w:val="28"/>
              </w:rPr>
              <w:t>1范围</w:t>
            </w:r>
          </w:p>
        </w:tc>
        <w:tc>
          <w:tcPr>
            <w:tcW w:w="3046" w:type="dxa"/>
            <w:vAlign w:val="center"/>
          </w:tcPr>
          <w:p w14:paraId="6705A4A3">
            <w:pPr>
              <w:pStyle w:val="18"/>
              <w:adjustRightInd w:val="0"/>
              <w:snapToGrid w:val="0"/>
              <w:ind w:firstLine="0" w:firstLineChars="0"/>
              <w:rPr>
                <w:rFonts w:ascii="Times New Roman"/>
                <w:sz w:val="28"/>
                <w:szCs w:val="28"/>
              </w:rPr>
            </w:pPr>
            <w:r>
              <w:rPr>
                <w:rFonts w:ascii="Times New Roman"/>
                <w:sz w:val="28"/>
                <w:szCs w:val="28"/>
              </w:rPr>
              <w:t>本</w:t>
            </w:r>
            <w:r>
              <w:rPr>
                <w:rFonts w:hint="eastAsia" w:ascii="Times New Roman"/>
                <w:sz w:val="28"/>
                <w:szCs w:val="28"/>
              </w:rPr>
              <w:t>文件给出</w:t>
            </w:r>
            <w:r>
              <w:rPr>
                <w:rFonts w:ascii="Times New Roman"/>
                <w:sz w:val="28"/>
                <w:szCs w:val="28"/>
              </w:rPr>
              <w:t>了食品低温配送中心规划设计的</w:t>
            </w:r>
            <w:r>
              <w:rPr>
                <w:rFonts w:hint="eastAsia" w:ascii="Times New Roman"/>
                <w:sz w:val="28"/>
                <w:szCs w:val="28"/>
              </w:rPr>
              <w:t>总体</w:t>
            </w:r>
            <w:r>
              <w:rPr>
                <w:rFonts w:ascii="Times New Roman"/>
                <w:sz w:val="28"/>
                <w:szCs w:val="28"/>
              </w:rPr>
              <w:t>原则，</w:t>
            </w:r>
            <w:r>
              <w:rPr>
                <w:rFonts w:hint="eastAsia" w:ascii="Times New Roman"/>
                <w:sz w:val="28"/>
                <w:szCs w:val="28"/>
              </w:rPr>
              <w:t>并就项目规划设计</w:t>
            </w:r>
            <w:r>
              <w:rPr>
                <w:rFonts w:ascii="Times New Roman"/>
                <w:sz w:val="28"/>
                <w:szCs w:val="28"/>
              </w:rPr>
              <w:t>、主体</w:t>
            </w:r>
            <w:r>
              <w:rPr>
                <w:rFonts w:hint="eastAsia" w:ascii="Times New Roman"/>
                <w:sz w:val="28"/>
                <w:szCs w:val="28"/>
              </w:rPr>
              <w:t>设施</w:t>
            </w:r>
            <w:r>
              <w:rPr>
                <w:rFonts w:ascii="Times New Roman"/>
                <w:sz w:val="28"/>
                <w:szCs w:val="28"/>
              </w:rPr>
              <w:t>、核心功能区、</w:t>
            </w:r>
            <w:r>
              <w:rPr>
                <w:rFonts w:hint="eastAsia" w:ascii="Times New Roman"/>
                <w:sz w:val="28"/>
                <w:szCs w:val="28"/>
              </w:rPr>
              <w:t>温控系</w:t>
            </w:r>
            <w:r>
              <w:rPr>
                <w:rFonts w:hint="eastAsia" w:ascii="Times New Roman"/>
                <w:color w:val="000000" w:themeColor="text1"/>
                <w:sz w:val="28"/>
                <w:szCs w:val="28"/>
                <w14:textFill>
                  <w14:solidFill>
                    <w14:schemeClr w14:val="tx1"/>
                  </w14:solidFill>
                </w14:textFill>
              </w:rPr>
              <w:t>统、</w:t>
            </w:r>
            <w:r>
              <w:rPr>
                <w:rFonts w:ascii="Times New Roman"/>
                <w:sz w:val="28"/>
                <w:szCs w:val="28"/>
              </w:rPr>
              <w:t>道路及动线、</w:t>
            </w:r>
            <w:r>
              <w:rPr>
                <w:rFonts w:hint="eastAsia" w:ascii="Times New Roman"/>
                <w:sz w:val="28"/>
                <w:szCs w:val="28"/>
              </w:rPr>
              <w:t>作业设备</w:t>
            </w:r>
            <w:r>
              <w:rPr>
                <w:rFonts w:ascii="Times New Roman"/>
                <w:sz w:val="28"/>
                <w:szCs w:val="28"/>
              </w:rPr>
              <w:t>、</w:t>
            </w:r>
            <w:r>
              <w:rPr>
                <w:rFonts w:hint="eastAsia" w:ascii="Times New Roman"/>
                <w:color w:val="000000" w:themeColor="text1"/>
                <w:sz w:val="28"/>
                <w:szCs w:val="28"/>
                <w14:textFill>
                  <w14:solidFill>
                    <w14:schemeClr w14:val="tx1"/>
                  </w14:solidFill>
                </w14:textFill>
              </w:rPr>
              <w:t>能源与节能环</w:t>
            </w:r>
            <w:r>
              <w:rPr>
                <w:rFonts w:hint="eastAsia" w:ascii="Times New Roman"/>
                <w:sz w:val="28"/>
                <w:szCs w:val="28"/>
              </w:rPr>
              <w:t>保、安全与卫生、</w:t>
            </w:r>
            <w:r>
              <w:rPr>
                <w:rFonts w:ascii="Times New Roman"/>
                <w:sz w:val="28"/>
                <w:szCs w:val="28"/>
              </w:rPr>
              <w:t>信息化</w:t>
            </w:r>
            <w:r>
              <w:rPr>
                <w:rFonts w:hint="eastAsia" w:ascii="Times New Roman"/>
                <w:sz w:val="28"/>
                <w:szCs w:val="28"/>
              </w:rPr>
              <w:t>与智能化提出设计和规划建议</w:t>
            </w:r>
            <w:r>
              <w:rPr>
                <w:rFonts w:ascii="Times New Roman"/>
                <w:sz w:val="28"/>
                <w:szCs w:val="28"/>
              </w:rPr>
              <w:t>。</w:t>
            </w:r>
          </w:p>
          <w:p w14:paraId="563FDFA4">
            <w:pPr>
              <w:pStyle w:val="18"/>
              <w:adjustRightInd w:val="0"/>
              <w:snapToGrid w:val="0"/>
              <w:ind w:firstLine="0" w:firstLineChars="0"/>
              <w:rPr>
                <w:rFonts w:ascii="Times New Roman"/>
                <w:sz w:val="28"/>
                <w:szCs w:val="28"/>
              </w:rPr>
            </w:pPr>
            <w:r>
              <w:rPr>
                <w:rFonts w:ascii="Times New Roman"/>
                <w:sz w:val="28"/>
                <w:szCs w:val="28"/>
              </w:rPr>
              <w:t>本</w:t>
            </w:r>
            <w:r>
              <w:rPr>
                <w:rFonts w:hint="eastAsia" w:ascii="Times New Roman"/>
                <w:sz w:val="28"/>
                <w:szCs w:val="28"/>
              </w:rPr>
              <w:t>文件</w:t>
            </w:r>
            <w:r>
              <w:rPr>
                <w:rFonts w:ascii="Times New Roman"/>
                <w:sz w:val="28"/>
                <w:szCs w:val="28"/>
              </w:rPr>
              <w:t>适用于</w:t>
            </w:r>
            <w:r>
              <w:rPr>
                <w:rFonts w:hint="eastAsia" w:ascii="Times New Roman"/>
                <w:sz w:val="28"/>
                <w:szCs w:val="28"/>
              </w:rPr>
              <w:t>食品低温配送中心</w:t>
            </w:r>
            <w:r>
              <w:rPr>
                <w:rFonts w:ascii="Times New Roman"/>
                <w:sz w:val="28"/>
                <w:szCs w:val="28"/>
              </w:rPr>
              <w:t>的新建、改建或扩建。</w:t>
            </w:r>
          </w:p>
        </w:tc>
        <w:tc>
          <w:tcPr>
            <w:tcW w:w="2410" w:type="dxa"/>
            <w:vAlign w:val="center"/>
          </w:tcPr>
          <w:p w14:paraId="3EC1F251">
            <w:pPr>
              <w:pStyle w:val="18"/>
              <w:adjustRightInd w:val="0"/>
              <w:snapToGrid w:val="0"/>
              <w:ind w:firstLine="0" w:firstLineChars="0"/>
              <w:rPr>
                <w:rFonts w:ascii="Times New Roman"/>
                <w:sz w:val="28"/>
                <w:szCs w:val="28"/>
              </w:rPr>
            </w:pPr>
            <w:r>
              <w:rPr>
                <w:rFonts w:hint="eastAsia" w:ascii="Times New Roman"/>
                <w:sz w:val="28"/>
                <w:szCs w:val="28"/>
              </w:rPr>
              <w:t>本标准给出了食品低温配送中心规划设计的总体原则，并就规划设计、主体建筑、核心功能区、道路及动线、作业设备选用、信息化管理等提出了设计和规划参考的标准和方法。</w:t>
            </w:r>
          </w:p>
          <w:p w14:paraId="6B73737D">
            <w:pPr>
              <w:pStyle w:val="18"/>
              <w:adjustRightInd w:val="0"/>
              <w:snapToGrid w:val="0"/>
              <w:ind w:firstLine="0" w:firstLineChars="0"/>
              <w:rPr>
                <w:rFonts w:ascii="Times New Roman"/>
                <w:sz w:val="28"/>
                <w:szCs w:val="28"/>
              </w:rPr>
            </w:pPr>
            <w:r>
              <w:rPr>
                <w:rFonts w:hint="eastAsia" w:ascii="Times New Roman"/>
                <w:sz w:val="28"/>
                <w:szCs w:val="28"/>
              </w:rPr>
              <w:t>本标准适用于食品低温配送中心的新建、改建或扩建。</w:t>
            </w:r>
          </w:p>
        </w:tc>
        <w:tc>
          <w:tcPr>
            <w:tcW w:w="2268" w:type="dxa"/>
            <w:vAlign w:val="center"/>
          </w:tcPr>
          <w:p w14:paraId="4722653E">
            <w:pPr>
              <w:jc w:val="left"/>
              <w:rPr>
                <w:rFonts w:ascii="Times New Roman" w:hAnsi="Times New Roman"/>
                <w:sz w:val="28"/>
                <w:szCs w:val="28"/>
              </w:rPr>
            </w:pPr>
          </w:p>
        </w:tc>
      </w:tr>
      <w:tr w14:paraId="7082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52AEBDE0">
            <w:pPr>
              <w:jc w:val="center"/>
              <w:rPr>
                <w:rFonts w:ascii="Times New Roman" w:hAnsi="Times New Roman"/>
                <w:sz w:val="28"/>
                <w:szCs w:val="28"/>
              </w:rPr>
            </w:pPr>
            <w:r>
              <w:rPr>
                <w:rFonts w:hint="eastAsia" w:ascii="Times New Roman" w:hAnsi="Times New Roman"/>
                <w:sz w:val="28"/>
                <w:szCs w:val="28"/>
              </w:rPr>
              <w:t>3术语和定义</w:t>
            </w:r>
          </w:p>
        </w:tc>
        <w:tc>
          <w:tcPr>
            <w:tcW w:w="706" w:type="dxa"/>
            <w:vAlign w:val="center"/>
          </w:tcPr>
          <w:p w14:paraId="30B276A0">
            <w:pPr>
              <w:jc w:val="center"/>
              <w:rPr>
                <w:rFonts w:ascii="Times New Roman" w:hAnsi="Times New Roman"/>
                <w:sz w:val="28"/>
                <w:szCs w:val="28"/>
              </w:rPr>
            </w:pPr>
            <w:r>
              <w:rPr>
                <w:rFonts w:hint="eastAsia" w:ascii="Times New Roman" w:hAnsi="Times New Roman"/>
                <w:sz w:val="28"/>
                <w:szCs w:val="28"/>
              </w:rPr>
              <w:t>3.1</w:t>
            </w:r>
          </w:p>
        </w:tc>
        <w:tc>
          <w:tcPr>
            <w:tcW w:w="3046" w:type="dxa"/>
            <w:vAlign w:val="center"/>
          </w:tcPr>
          <w:p w14:paraId="0522B157">
            <w:pPr>
              <w:pStyle w:val="18"/>
              <w:adjustRightInd w:val="0"/>
              <w:snapToGrid w:val="0"/>
              <w:ind w:firstLine="0" w:firstLineChars="0"/>
              <w:rPr>
                <w:rFonts w:ascii="Times New Roman"/>
                <w:sz w:val="28"/>
                <w:szCs w:val="28"/>
              </w:rPr>
            </w:pPr>
            <w:r>
              <w:rPr>
                <w:rFonts w:ascii="Times New Roman"/>
                <w:sz w:val="28"/>
                <w:szCs w:val="28"/>
              </w:rPr>
              <w:t>食品低温配送中心</w:t>
            </w:r>
            <w:bookmarkStart w:id="2" w:name="_Hlk232843505"/>
            <w:r>
              <w:rPr>
                <w:rFonts w:hint="eastAsia" w:ascii="Times New Roman"/>
                <w:sz w:val="28"/>
                <w:szCs w:val="28"/>
              </w:rPr>
              <w:t xml:space="preserve">  food </w:t>
            </w:r>
            <w:r>
              <w:rPr>
                <w:rFonts w:ascii="Times New Roman"/>
                <w:sz w:val="28"/>
                <w:szCs w:val="28"/>
              </w:rPr>
              <w:t>low temperature distribution center</w:t>
            </w:r>
            <w:bookmarkEnd w:id="2"/>
          </w:p>
          <w:p w14:paraId="14B70B13">
            <w:pPr>
              <w:pStyle w:val="18"/>
              <w:adjustRightInd w:val="0"/>
              <w:snapToGrid w:val="0"/>
              <w:ind w:firstLine="0" w:firstLineChars="0"/>
              <w:rPr>
                <w:rFonts w:ascii="Times New Roman"/>
                <w:sz w:val="28"/>
                <w:szCs w:val="28"/>
              </w:rPr>
            </w:pPr>
            <w:r>
              <w:rPr>
                <w:rFonts w:ascii="Times New Roman"/>
                <w:sz w:val="28"/>
                <w:szCs w:val="28"/>
              </w:rPr>
              <w:t>具备</w:t>
            </w:r>
            <w:r>
              <w:rPr>
                <w:rFonts w:hint="eastAsia" w:ascii="Times New Roman"/>
                <w:sz w:val="28"/>
                <w:szCs w:val="28"/>
              </w:rPr>
              <w:t>完善的</w:t>
            </w:r>
            <w:r>
              <w:rPr>
                <w:rFonts w:ascii="Times New Roman"/>
                <w:sz w:val="28"/>
                <w:szCs w:val="28"/>
              </w:rPr>
              <w:t>配送基础设施、信息网络和温控设施设备，便捷</w:t>
            </w:r>
            <w:r>
              <w:rPr>
                <w:rFonts w:hint="eastAsia" w:ascii="Times New Roman"/>
                <w:sz w:val="28"/>
                <w:szCs w:val="28"/>
              </w:rPr>
              <w:t>连接</w:t>
            </w:r>
            <w:r>
              <w:rPr>
                <w:rFonts w:ascii="Times New Roman"/>
                <w:sz w:val="28"/>
                <w:szCs w:val="28"/>
              </w:rPr>
              <w:t>对外交通运输网络，对食品进行收货、存储、分拣、加工</w:t>
            </w:r>
            <w:r>
              <w:rPr>
                <w:rFonts w:hint="eastAsia" w:ascii="Times New Roman"/>
                <w:sz w:val="28"/>
                <w:szCs w:val="28"/>
              </w:rPr>
              <w:t>、中转</w:t>
            </w:r>
            <w:r>
              <w:rPr>
                <w:rFonts w:ascii="Times New Roman"/>
                <w:sz w:val="28"/>
                <w:szCs w:val="28"/>
              </w:rPr>
              <w:t>和配送等作业，并向末端客户提供短距离、小批量、多批次配送服务的专业化配送场所。</w:t>
            </w:r>
          </w:p>
        </w:tc>
        <w:tc>
          <w:tcPr>
            <w:tcW w:w="2410" w:type="dxa"/>
            <w:vMerge w:val="restart"/>
            <w:vAlign w:val="center"/>
          </w:tcPr>
          <w:p w14:paraId="197B2812">
            <w:pPr>
              <w:pStyle w:val="18"/>
              <w:adjustRightInd w:val="0"/>
              <w:snapToGrid w:val="0"/>
              <w:ind w:firstLine="0" w:firstLineChars="0"/>
              <w:rPr>
                <w:rFonts w:ascii="Times New Roman"/>
                <w:sz w:val="28"/>
                <w:szCs w:val="28"/>
              </w:rPr>
            </w:pPr>
            <w:r>
              <w:rPr>
                <w:rFonts w:hint="eastAsia" w:ascii="Times New Roman"/>
                <w:sz w:val="28"/>
                <w:szCs w:val="28"/>
              </w:rPr>
              <w:t>3.1食品低温配送中心 low temperature distribution center</w:t>
            </w:r>
          </w:p>
          <w:p w14:paraId="4616ADFC">
            <w:pPr>
              <w:pStyle w:val="18"/>
              <w:adjustRightInd w:val="0"/>
              <w:snapToGrid w:val="0"/>
              <w:ind w:firstLine="0" w:firstLineChars="0"/>
              <w:rPr>
                <w:rFonts w:ascii="Times New Roman"/>
                <w:sz w:val="28"/>
                <w:szCs w:val="28"/>
              </w:rPr>
            </w:pPr>
            <w:r>
              <w:rPr>
                <w:rFonts w:hint="eastAsia" w:ascii="Times New Roman"/>
                <w:sz w:val="28"/>
                <w:szCs w:val="28"/>
              </w:rPr>
              <w:t>满足食品温控物流要求，具有收发货、存储、理货、分拣、流通加工、配送与信息管理等功能的物流场所。</w:t>
            </w:r>
          </w:p>
          <w:p w14:paraId="33793823">
            <w:pPr>
              <w:pStyle w:val="18"/>
              <w:adjustRightInd w:val="0"/>
              <w:snapToGrid w:val="0"/>
              <w:ind w:firstLine="0" w:firstLineChars="0"/>
              <w:rPr>
                <w:rFonts w:ascii="Times New Roman"/>
                <w:sz w:val="28"/>
                <w:szCs w:val="28"/>
              </w:rPr>
            </w:pPr>
            <w:r>
              <w:rPr>
                <w:rFonts w:hint="eastAsia" w:ascii="Times New Roman"/>
                <w:sz w:val="28"/>
                <w:szCs w:val="28"/>
              </w:rPr>
              <w:t>3.2站台登车桥 dock levelers</w:t>
            </w:r>
          </w:p>
          <w:p w14:paraId="51A9FF2B">
            <w:pPr>
              <w:pStyle w:val="18"/>
              <w:adjustRightInd w:val="0"/>
              <w:snapToGrid w:val="0"/>
              <w:ind w:firstLine="0" w:firstLineChars="0"/>
              <w:rPr>
                <w:rFonts w:ascii="Times New Roman"/>
                <w:sz w:val="28"/>
                <w:szCs w:val="28"/>
              </w:rPr>
            </w:pPr>
            <w:r>
              <w:rPr>
                <w:rFonts w:hint="eastAsia" w:ascii="Times New Roman"/>
                <w:sz w:val="28"/>
                <w:szCs w:val="28"/>
              </w:rPr>
              <w:t>当货车底板平面与装卸货站台平面有高度差时，可使手推车、叉车无障碍地进人车厢内的装置。[GB/T 28581—2012,定义 2.7]</w:t>
            </w:r>
          </w:p>
          <w:p w14:paraId="327FCE31">
            <w:pPr>
              <w:pStyle w:val="18"/>
              <w:adjustRightInd w:val="0"/>
              <w:snapToGrid w:val="0"/>
              <w:ind w:firstLine="0" w:firstLineChars="0"/>
              <w:rPr>
                <w:rFonts w:ascii="Times New Roman"/>
                <w:sz w:val="28"/>
                <w:szCs w:val="28"/>
              </w:rPr>
            </w:pPr>
            <w:r>
              <w:rPr>
                <w:rFonts w:hint="eastAsia" w:ascii="Times New Roman"/>
                <w:sz w:val="28"/>
                <w:szCs w:val="28"/>
              </w:rPr>
              <w:t>3.3装卸门密封罩 handling door seal cover</w:t>
            </w:r>
          </w:p>
          <w:p w14:paraId="6C15F369">
            <w:pPr>
              <w:pStyle w:val="18"/>
              <w:adjustRightInd w:val="0"/>
              <w:snapToGrid w:val="0"/>
              <w:ind w:firstLine="0" w:firstLineChars="0"/>
              <w:rPr>
                <w:rFonts w:ascii="Times New Roman"/>
                <w:sz w:val="28"/>
                <w:szCs w:val="28"/>
              </w:rPr>
            </w:pPr>
            <w:r>
              <w:rPr>
                <w:rFonts w:hint="eastAsia" w:ascii="Times New Roman"/>
                <w:sz w:val="28"/>
                <w:szCs w:val="28"/>
              </w:rPr>
              <w:t>用于连接车厢与装卸门的密封设备。</w:t>
            </w:r>
          </w:p>
          <w:p w14:paraId="134F6A89">
            <w:pPr>
              <w:pStyle w:val="18"/>
              <w:adjustRightInd w:val="0"/>
              <w:snapToGrid w:val="0"/>
              <w:ind w:firstLine="0" w:firstLineChars="0"/>
              <w:rPr>
                <w:rFonts w:ascii="Times New Roman"/>
                <w:sz w:val="28"/>
                <w:szCs w:val="28"/>
              </w:rPr>
            </w:pPr>
            <w:r>
              <w:rPr>
                <w:rFonts w:hint="eastAsia" w:ascii="Times New Roman"/>
                <w:sz w:val="28"/>
                <w:szCs w:val="28"/>
              </w:rPr>
              <w:t>3.4封闭低温站台 closed low temperature platform</w:t>
            </w:r>
          </w:p>
          <w:p w14:paraId="68B6C75C">
            <w:pPr>
              <w:pStyle w:val="18"/>
              <w:adjustRightInd w:val="0"/>
              <w:snapToGrid w:val="0"/>
              <w:ind w:firstLine="0" w:firstLineChars="0"/>
              <w:rPr>
                <w:rFonts w:ascii="Times New Roman"/>
                <w:sz w:val="28"/>
                <w:szCs w:val="28"/>
              </w:rPr>
            </w:pPr>
            <w:r>
              <w:rPr>
                <w:rFonts w:hint="eastAsia" w:ascii="Times New Roman"/>
                <w:sz w:val="28"/>
                <w:szCs w:val="28"/>
              </w:rPr>
              <w:t>对冷库作业站台进行全封闭并装有温控设备，可做收发货区、分拣区、待发货暂存区。</w:t>
            </w:r>
          </w:p>
          <w:p w14:paraId="0B297D95">
            <w:pPr>
              <w:pStyle w:val="18"/>
              <w:adjustRightInd w:val="0"/>
              <w:snapToGrid w:val="0"/>
              <w:ind w:firstLine="0" w:firstLineChars="0"/>
              <w:rPr>
                <w:rFonts w:ascii="Times New Roman"/>
                <w:sz w:val="28"/>
                <w:szCs w:val="28"/>
              </w:rPr>
            </w:pPr>
            <w:r>
              <w:rPr>
                <w:rFonts w:hint="eastAsia" w:ascii="Times New Roman"/>
                <w:sz w:val="28"/>
                <w:szCs w:val="28"/>
              </w:rPr>
              <w:t>3.5流通加工 distribution processing</w:t>
            </w:r>
          </w:p>
          <w:p w14:paraId="4D30A36E">
            <w:pPr>
              <w:pStyle w:val="18"/>
              <w:adjustRightInd w:val="0"/>
              <w:snapToGrid w:val="0"/>
              <w:ind w:firstLine="0" w:firstLineChars="0"/>
              <w:rPr>
                <w:rFonts w:ascii="Times New Roman"/>
                <w:sz w:val="28"/>
                <w:szCs w:val="28"/>
              </w:rPr>
            </w:pPr>
            <w:r>
              <w:rPr>
                <w:rFonts w:hint="eastAsia" w:ascii="Times New Roman"/>
                <w:sz w:val="28"/>
                <w:szCs w:val="28"/>
              </w:rPr>
              <w:t>按订单需求对食品进行拆箱、拆解、分割、分拣、分类、分级、称重等再包装的物理加工。</w:t>
            </w:r>
          </w:p>
        </w:tc>
        <w:tc>
          <w:tcPr>
            <w:tcW w:w="2268" w:type="dxa"/>
            <w:vMerge w:val="restart"/>
            <w:vAlign w:val="center"/>
          </w:tcPr>
          <w:p w14:paraId="7D313BA0">
            <w:pPr>
              <w:pStyle w:val="18"/>
              <w:adjustRightInd w:val="0"/>
              <w:snapToGrid w:val="0"/>
              <w:ind w:firstLine="0" w:firstLineChars="0"/>
              <w:rPr>
                <w:rFonts w:ascii="Times New Roman"/>
                <w:sz w:val="28"/>
                <w:szCs w:val="28"/>
              </w:rPr>
            </w:pPr>
            <w:r>
              <w:rPr>
                <w:rFonts w:hint="eastAsia" w:ascii="Times New Roman"/>
                <w:sz w:val="28"/>
                <w:szCs w:val="28"/>
              </w:rPr>
              <w:t>更改了“食品低温配送中心”的定义（见3.1，2019年版的3.1）。突出食品低温配送中心具备配送基础设施、信息网络和温控设施设备，能够连接对外交通运输网络，承担收货、存储、分拣、加工、中转和配送等作业，并面向末端客户提供短距离、小批量、多批次配送服务的特征。</w:t>
            </w:r>
          </w:p>
          <w:p w14:paraId="43E97E19">
            <w:pPr>
              <w:pStyle w:val="18"/>
              <w:adjustRightInd w:val="0"/>
              <w:snapToGrid w:val="0"/>
              <w:ind w:firstLine="0" w:firstLineChars="0"/>
              <w:rPr>
                <w:rFonts w:hint="eastAsia" w:ascii="Times New Roman"/>
                <w:sz w:val="28"/>
                <w:szCs w:val="28"/>
                <w:lang w:eastAsia="zh-CN"/>
              </w:rPr>
            </w:pPr>
            <w:r>
              <w:rPr>
                <w:rFonts w:hint="eastAsia" w:ascii="Times New Roman"/>
                <w:sz w:val="28"/>
                <w:szCs w:val="28"/>
              </w:rPr>
              <w:t>删除了“站台登车桥”“装卸门密封罩”“封闭低温站台”和“流通加工”等术语和定义（见2019年版的3.2～3.5）</w:t>
            </w:r>
            <w:r>
              <w:rPr>
                <w:rFonts w:hint="eastAsia" w:ascii="Times New Roman"/>
                <w:sz w:val="28"/>
                <w:szCs w:val="28"/>
                <w:lang w:eastAsia="zh-CN"/>
              </w:rPr>
              <w:t>；</w:t>
            </w:r>
          </w:p>
          <w:p w14:paraId="5DFA9065">
            <w:pPr>
              <w:pStyle w:val="18"/>
              <w:adjustRightInd w:val="0"/>
              <w:snapToGrid w:val="0"/>
              <w:ind w:firstLine="0" w:firstLineChars="0"/>
              <w:rPr>
                <w:rFonts w:ascii="Times New Roman"/>
                <w:sz w:val="28"/>
                <w:szCs w:val="28"/>
              </w:rPr>
            </w:pPr>
            <w:r>
              <w:rPr>
                <w:rFonts w:hint="eastAsia" w:ascii="Times New Roman"/>
                <w:sz w:val="28"/>
                <w:szCs w:val="28"/>
              </w:rPr>
              <w:t>增加了“控温封闭站台”的术语和定义（见3.2）。删除非本文件核心对象或可直接采用基础物流术语的术语定义。其中，“流通加工”直接采用GB/T 18354中的相关定义，以保持物流术语的一致性；站台登车桥、装卸门密封罩等设施内容在主体设施和装卸作业区中予以体现。明确控温封闭站台为与库房直接连接、具有外部车辆装卸口并采用人工制冷降温的非敞开式站台或穿堂，可承担收发货、分拣和待发货暂存等作业，以突出其减少食品暴露时间、降低冷量损失和保障作业环境温度的作用。</w:t>
            </w:r>
          </w:p>
        </w:tc>
      </w:tr>
      <w:tr w14:paraId="0562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54A74D95">
            <w:pPr>
              <w:jc w:val="center"/>
              <w:rPr>
                <w:rFonts w:ascii="Times New Roman" w:hAnsi="Times New Roman"/>
                <w:sz w:val="28"/>
                <w:szCs w:val="28"/>
              </w:rPr>
            </w:pPr>
          </w:p>
        </w:tc>
        <w:tc>
          <w:tcPr>
            <w:tcW w:w="706" w:type="dxa"/>
            <w:vAlign w:val="center"/>
          </w:tcPr>
          <w:p w14:paraId="7529ED85">
            <w:pPr>
              <w:jc w:val="center"/>
              <w:rPr>
                <w:rFonts w:ascii="Times New Roman" w:hAnsi="Times New Roman"/>
                <w:sz w:val="28"/>
                <w:szCs w:val="28"/>
              </w:rPr>
            </w:pPr>
            <w:r>
              <w:rPr>
                <w:rFonts w:hint="eastAsia" w:ascii="Times New Roman" w:hAnsi="Times New Roman"/>
                <w:sz w:val="28"/>
                <w:szCs w:val="28"/>
              </w:rPr>
              <w:t>3.2</w:t>
            </w:r>
          </w:p>
        </w:tc>
        <w:tc>
          <w:tcPr>
            <w:tcW w:w="3046" w:type="dxa"/>
            <w:vAlign w:val="center"/>
          </w:tcPr>
          <w:p w14:paraId="0747E607">
            <w:pPr>
              <w:pStyle w:val="18"/>
              <w:adjustRightInd w:val="0"/>
              <w:snapToGrid w:val="0"/>
              <w:ind w:firstLine="0" w:firstLineChars="0"/>
              <w:rPr>
                <w:rFonts w:ascii="Times New Roman"/>
                <w:sz w:val="28"/>
                <w:szCs w:val="28"/>
              </w:rPr>
            </w:pPr>
            <w:r>
              <w:rPr>
                <w:rFonts w:hint="eastAsia" w:ascii="Times New Roman"/>
                <w:sz w:val="28"/>
                <w:szCs w:val="28"/>
              </w:rPr>
              <w:t>控温封闭站台 temperature-controlled enclosed platform</w:t>
            </w:r>
          </w:p>
          <w:p w14:paraId="31582D6A">
            <w:pPr>
              <w:pStyle w:val="18"/>
              <w:adjustRightInd w:val="0"/>
              <w:snapToGrid w:val="0"/>
              <w:ind w:firstLine="0" w:firstLineChars="0"/>
              <w:rPr>
                <w:rFonts w:ascii="Times New Roman"/>
                <w:sz w:val="28"/>
                <w:szCs w:val="28"/>
              </w:rPr>
            </w:pPr>
            <w:r>
              <w:rPr>
                <w:rFonts w:hint="eastAsia" w:ascii="Times New Roman"/>
                <w:sz w:val="28"/>
                <w:szCs w:val="28"/>
              </w:rPr>
              <w:t>库房直接与外部相连、有外部车辆装卸口的，并采用人工制冷降温的非敞开式站台或穿堂，兼具收发货、分拣和暂存功能。</w:t>
            </w:r>
          </w:p>
        </w:tc>
        <w:tc>
          <w:tcPr>
            <w:tcW w:w="2410" w:type="dxa"/>
            <w:vMerge w:val="continue"/>
            <w:vAlign w:val="center"/>
          </w:tcPr>
          <w:p w14:paraId="1ED2FEA5">
            <w:pPr>
              <w:pStyle w:val="18"/>
              <w:adjustRightInd w:val="0"/>
              <w:snapToGrid w:val="0"/>
              <w:ind w:firstLine="0" w:firstLineChars="0"/>
              <w:rPr>
                <w:rFonts w:ascii="Times New Roman"/>
                <w:sz w:val="28"/>
                <w:szCs w:val="28"/>
              </w:rPr>
            </w:pPr>
          </w:p>
        </w:tc>
        <w:tc>
          <w:tcPr>
            <w:tcW w:w="2268" w:type="dxa"/>
            <w:vMerge w:val="continue"/>
            <w:vAlign w:val="center"/>
          </w:tcPr>
          <w:p w14:paraId="1F7FD031">
            <w:pPr>
              <w:pStyle w:val="18"/>
              <w:adjustRightInd w:val="0"/>
              <w:snapToGrid w:val="0"/>
              <w:ind w:firstLine="0" w:firstLineChars="0"/>
              <w:rPr>
                <w:rFonts w:ascii="Times New Roman"/>
                <w:sz w:val="28"/>
                <w:szCs w:val="28"/>
              </w:rPr>
            </w:pPr>
          </w:p>
        </w:tc>
      </w:tr>
      <w:tr w14:paraId="1FBB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0CEBACCE">
            <w:pPr>
              <w:jc w:val="center"/>
              <w:rPr>
                <w:rFonts w:ascii="Times New Roman" w:hAnsi="Times New Roman"/>
                <w:sz w:val="28"/>
                <w:szCs w:val="28"/>
              </w:rPr>
            </w:pPr>
            <w:r>
              <w:rPr>
                <w:rFonts w:hint="eastAsia" w:ascii="Times New Roman" w:hAnsi="Times New Roman"/>
                <w:sz w:val="28"/>
                <w:szCs w:val="28"/>
              </w:rPr>
              <w:t>4总体原则</w:t>
            </w:r>
          </w:p>
        </w:tc>
        <w:tc>
          <w:tcPr>
            <w:tcW w:w="706" w:type="dxa"/>
            <w:vAlign w:val="center"/>
          </w:tcPr>
          <w:p w14:paraId="48510804">
            <w:pPr>
              <w:jc w:val="center"/>
              <w:rPr>
                <w:rFonts w:ascii="Times New Roman" w:hAnsi="Times New Roman"/>
                <w:sz w:val="28"/>
                <w:szCs w:val="28"/>
              </w:rPr>
            </w:pPr>
            <w:r>
              <w:rPr>
                <w:rFonts w:hint="eastAsia" w:ascii="Times New Roman" w:hAnsi="Times New Roman"/>
                <w:sz w:val="28"/>
                <w:szCs w:val="28"/>
              </w:rPr>
              <w:t>4.1</w:t>
            </w:r>
          </w:p>
        </w:tc>
        <w:tc>
          <w:tcPr>
            <w:tcW w:w="3046" w:type="dxa"/>
            <w:vAlign w:val="center"/>
          </w:tcPr>
          <w:p w14:paraId="039F1AE0">
            <w:pPr>
              <w:pStyle w:val="18"/>
              <w:adjustRightInd w:val="0"/>
              <w:snapToGrid w:val="0"/>
              <w:ind w:firstLine="0" w:firstLineChars="0"/>
              <w:rPr>
                <w:rFonts w:ascii="Times New Roman"/>
                <w:sz w:val="28"/>
                <w:szCs w:val="28"/>
              </w:rPr>
            </w:pPr>
            <w:r>
              <w:rPr>
                <w:rFonts w:hint="eastAsia" w:ascii="Times New Roman"/>
                <w:sz w:val="28"/>
                <w:szCs w:val="28"/>
              </w:rPr>
              <w:t>食品低温配送中心规划设计宜遵循安全可靠、绿色低碳、环境友好、经济合理、先进适用的原则，协同优化建筑围护结构、制冷系统、照明系统、装卸系统、自动化设备、能源系统，并开展全生命周期能耗与碳排放评估。</w:t>
            </w:r>
          </w:p>
        </w:tc>
        <w:tc>
          <w:tcPr>
            <w:tcW w:w="2410" w:type="dxa"/>
            <w:vAlign w:val="center"/>
          </w:tcPr>
          <w:p w14:paraId="09D6B222">
            <w:pPr>
              <w:pStyle w:val="18"/>
              <w:adjustRightInd w:val="0"/>
              <w:snapToGrid w:val="0"/>
              <w:ind w:firstLine="0" w:firstLineChars="0"/>
              <w:jc w:val="left"/>
              <w:rPr>
                <w:rFonts w:ascii="Times New Roman"/>
                <w:sz w:val="28"/>
                <w:szCs w:val="28"/>
              </w:rPr>
            </w:pPr>
            <w:r>
              <w:rPr>
                <w:rFonts w:ascii="Times New Roman"/>
                <w:sz w:val="28"/>
                <w:szCs w:val="28"/>
              </w:rPr>
              <w:t>低温配送中心的主体冷库建筑及制冷系统宜按GB 50016、GB 50072、SBJ 17的相关规定进行规划和设计。</w:t>
            </w:r>
          </w:p>
        </w:tc>
        <w:tc>
          <w:tcPr>
            <w:tcW w:w="2268" w:type="dxa"/>
            <w:vMerge w:val="restart"/>
            <w:vAlign w:val="center"/>
          </w:tcPr>
          <w:p w14:paraId="0C7C8305">
            <w:pPr>
              <w:pStyle w:val="18"/>
              <w:adjustRightInd w:val="0"/>
              <w:snapToGrid w:val="0"/>
              <w:ind w:firstLine="0" w:firstLineChars="0"/>
              <w:rPr>
                <w:rFonts w:ascii="Times New Roman"/>
                <w:sz w:val="28"/>
                <w:szCs w:val="28"/>
              </w:rPr>
            </w:pPr>
            <w:r>
              <w:rPr>
                <w:rFonts w:hint="eastAsia" w:ascii="Times New Roman"/>
                <w:sz w:val="28"/>
                <w:szCs w:val="28"/>
              </w:rPr>
              <w:t>更改了总体原则（见第4章，2019年版的第4章）。增加全生命周期能耗与碳排放评估、建设规模与可拓展性、物流工艺与建筑空间及自动化设备和信息系统一体化设计等内容；增加对公共卫生事件、极端天气、能源中断、交通中断和订单峰值波动等异常场景的应对建议，提出配置应急供电、制冷冗余、异常品隔离、应急作业通道和信息化应急管理功能等建议。</w:t>
            </w:r>
          </w:p>
        </w:tc>
      </w:tr>
      <w:tr w14:paraId="3197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062A86E9">
            <w:pPr>
              <w:jc w:val="center"/>
              <w:rPr>
                <w:rFonts w:ascii="Times New Roman" w:hAnsi="Times New Roman"/>
                <w:sz w:val="28"/>
                <w:szCs w:val="28"/>
              </w:rPr>
            </w:pPr>
          </w:p>
        </w:tc>
        <w:tc>
          <w:tcPr>
            <w:tcW w:w="706" w:type="dxa"/>
            <w:vAlign w:val="center"/>
          </w:tcPr>
          <w:p w14:paraId="288658DC">
            <w:pPr>
              <w:jc w:val="center"/>
              <w:rPr>
                <w:rFonts w:ascii="Times New Roman" w:hAnsi="Times New Roman"/>
                <w:sz w:val="28"/>
                <w:szCs w:val="28"/>
              </w:rPr>
            </w:pPr>
            <w:r>
              <w:rPr>
                <w:rFonts w:hint="eastAsia" w:ascii="Times New Roman" w:hAnsi="Times New Roman"/>
                <w:sz w:val="28"/>
                <w:szCs w:val="28"/>
              </w:rPr>
              <w:t>4.2</w:t>
            </w:r>
          </w:p>
        </w:tc>
        <w:tc>
          <w:tcPr>
            <w:tcW w:w="3046" w:type="dxa"/>
            <w:vAlign w:val="center"/>
          </w:tcPr>
          <w:p w14:paraId="6E5C85A0">
            <w:pPr>
              <w:pStyle w:val="18"/>
              <w:adjustRightInd w:val="0"/>
              <w:snapToGrid w:val="0"/>
              <w:ind w:firstLine="0" w:firstLineChars="0"/>
              <w:rPr>
                <w:rFonts w:ascii="Times New Roman"/>
                <w:sz w:val="28"/>
                <w:szCs w:val="28"/>
              </w:rPr>
            </w:pPr>
            <w:r>
              <w:rPr>
                <w:rFonts w:hint="eastAsia" w:ascii="Times New Roman"/>
                <w:sz w:val="28"/>
                <w:szCs w:val="28"/>
              </w:rPr>
              <w:t>宜科学确定用地及建设规模，统筹规划、分步实施并具有一定的可拓展性。</w:t>
            </w:r>
          </w:p>
        </w:tc>
        <w:tc>
          <w:tcPr>
            <w:tcW w:w="2410" w:type="dxa"/>
            <w:vAlign w:val="center"/>
          </w:tcPr>
          <w:p w14:paraId="6E7F32AC">
            <w:pPr>
              <w:pStyle w:val="18"/>
              <w:adjustRightInd w:val="0"/>
              <w:snapToGrid w:val="0"/>
              <w:ind w:firstLine="0" w:firstLineChars="0"/>
              <w:jc w:val="left"/>
              <w:rPr>
                <w:rFonts w:ascii="Times New Roman"/>
                <w:sz w:val="28"/>
                <w:szCs w:val="28"/>
              </w:rPr>
            </w:pPr>
            <w:r>
              <w:rPr>
                <w:rFonts w:ascii="Times New Roman"/>
                <w:sz w:val="28"/>
                <w:szCs w:val="28"/>
              </w:rPr>
              <w:t>宜选择安全、环保、绿色、节能的技术与材料。</w:t>
            </w:r>
          </w:p>
        </w:tc>
        <w:tc>
          <w:tcPr>
            <w:tcW w:w="2268" w:type="dxa"/>
            <w:vMerge w:val="continue"/>
            <w:vAlign w:val="center"/>
          </w:tcPr>
          <w:p w14:paraId="20C7F1E3">
            <w:pPr>
              <w:pStyle w:val="18"/>
              <w:adjustRightInd w:val="0"/>
              <w:snapToGrid w:val="0"/>
              <w:ind w:firstLine="0" w:firstLineChars="0"/>
              <w:rPr>
                <w:rFonts w:ascii="Times New Roman"/>
                <w:sz w:val="28"/>
                <w:szCs w:val="28"/>
              </w:rPr>
            </w:pPr>
          </w:p>
        </w:tc>
      </w:tr>
      <w:tr w14:paraId="5D7A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34F47E7">
            <w:pPr>
              <w:jc w:val="center"/>
              <w:rPr>
                <w:rFonts w:ascii="Times New Roman" w:hAnsi="Times New Roman"/>
                <w:sz w:val="28"/>
                <w:szCs w:val="28"/>
              </w:rPr>
            </w:pPr>
          </w:p>
        </w:tc>
        <w:tc>
          <w:tcPr>
            <w:tcW w:w="706" w:type="dxa"/>
            <w:vAlign w:val="center"/>
          </w:tcPr>
          <w:p w14:paraId="73865C01">
            <w:pPr>
              <w:jc w:val="center"/>
              <w:rPr>
                <w:rFonts w:ascii="Times New Roman" w:hAnsi="Times New Roman"/>
                <w:sz w:val="28"/>
                <w:szCs w:val="28"/>
              </w:rPr>
            </w:pPr>
            <w:r>
              <w:rPr>
                <w:rFonts w:hint="eastAsia" w:ascii="Times New Roman" w:hAnsi="Times New Roman"/>
                <w:sz w:val="28"/>
                <w:szCs w:val="28"/>
              </w:rPr>
              <w:t>4.3</w:t>
            </w:r>
          </w:p>
        </w:tc>
        <w:tc>
          <w:tcPr>
            <w:tcW w:w="3046" w:type="dxa"/>
            <w:vAlign w:val="center"/>
          </w:tcPr>
          <w:p w14:paraId="6CF7966C">
            <w:pPr>
              <w:pStyle w:val="18"/>
              <w:adjustRightInd w:val="0"/>
              <w:snapToGrid w:val="0"/>
              <w:ind w:firstLine="0" w:firstLineChars="0"/>
              <w:rPr>
                <w:rFonts w:ascii="Times New Roman"/>
                <w:sz w:val="28"/>
                <w:szCs w:val="28"/>
              </w:rPr>
            </w:pPr>
            <w:r>
              <w:rPr>
                <w:rFonts w:hint="eastAsia" w:ascii="Times New Roman"/>
                <w:sz w:val="28"/>
                <w:szCs w:val="28"/>
              </w:rPr>
              <w:t>宜开展物流工艺、建筑空间、自动化设备和信息系统的一体化设计，实现作业可视化、温控可追溯、设备可联动、运营可优化。</w:t>
            </w:r>
          </w:p>
        </w:tc>
        <w:tc>
          <w:tcPr>
            <w:tcW w:w="2410" w:type="dxa"/>
            <w:vAlign w:val="center"/>
          </w:tcPr>
          <w:p w14:paraId="71528D97">
            <w:pPr>
              <w:pStyle w:val="18"/>
              <w:adjustRightInd w:val="0"/>
              <w:snapToGrid w:val="0"/>
              <w:ind w:firstLine="0" w:firstLineChars="0"/>
              <w:jc w:val="left"/>
              <w:rPr>
                <w:rFonts w:ascii="Times New Roman"/>
                <w:sz w:val="28"/>
                <w:szCs w:val="28"/>
              </w:rPr>
            </w:pPr>
            <w:r>
              <w:rPr>
                <w:rFonts w:ascii="Times New Roman"/>
                <w:sz w:val="28"/>
                <w:szCs w:val="28"/>
              </w:rPr>
              <w:t>根据食品低温配送中心功能定位，合理设计核心功能区、配套设施及作业动线等。</w:t>
            </w:r>
          </w:p>
        </w:tc>
        <w:tc>
          <w:tcPr>
            <w:tcW w:w="2268" w:type="dxa"/>
            <w:vMerge w:val="continue"/>
            <w:vAlign w:val="center"/>
          </w:tcPr>
          <w:p w14:paraId="070ECA7A">
            <w:pPr>
              <w:pStyle w:val="18"/>
              <w:adjustRightInd w:val="0"/>
              <w:snapToGrid w:val="0"/>
              <w:ind w:firstLine="0" w:firstLineChars="0"/>
              <w:rPr>
                <w:rFonts w:ascii="Times New Roman"/>
                <w:sz w:val="28"/>
                <w:szCs w:val="28"/>
              </w:rPr>
            </w:pPr>
          </w:p>
        </w:tc>
      </w:tr>
      <w:tr w14:paraId="285F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459D5CD9">
            <w:pPr>
              <w:jc w:val="center"/>
              <w:rPr>
                <w:rFonts w:ascii="Times New Roman" w:hAnsi="Times New Roman"/>
                <w:sz w:val="28"/>
                <w:szCs w:val="28"/>
              </w:rPr>
            </w:pPr>
          </w:p>
        </w:tc>
        <w:tc>
          <w:tcPr>
            <w:tcW w:w="706" w:type="dxa"/>
            <w:vAlign w:val="center"/>
          </w:tcPr>
          <w:p w14:paraId="40FFC1C1">
            <w:pPr>
              <w:jc w:val="center"/>
              <w:rPr>
                <w:rFonts w:ascii="Times New Roman" w:hAnsi="Times New Roman"/>
                <w:sz w:val="28"/>
                <w:szCs w:val="28"/>
              </w:rPr>
            </w:pPr>
            <w:r>
              <w:rPr>
                <w:rFonts w:hint="eastAsia" w:ascii="Times New Roman" w:hAnsi="Times New Roman"/>
                <w:sz w:val="28"/>
                <w:szCs w:val="28"/>
              </w:rPr>
              <w:t>4.4</w:t>
            </w:r>
          </w:p>
        </w:tc>
        <w:tc>
          <w:tcPr>
            <w:tcW w:w="3046" w:type="dxa"/>
            <w:vAlign w:val="center"/>
          </w:tcPr>
          <w:p w14:paraId="06E470F0">
            <w:pPr>
              <w:pStyle w:val="18"/>
              <w:adjustRightInd w:val="0"/>
              <w:snapToGrid w:val="0"/>
              <w:ind w:firstLine="0" w:firstLineChars="0"/>
              <w:rPr>
                <w:rFonts w:ascii="Times New Roman"/>
                <w:sz w:val="28"/>
                <w:szCs w:val="28"/>
              </w:rPr>
            </w:pPr>
            <w:r>
              <w:rPr>
                <w:rFonts w:hint="eastAsia" w:ascii="Times New Roman"/>
                <w:sz w:val="28"/>
                <w:szCs w:val="28"/>
              </w:rPr>
              <w:t>根据公共卫生事件、极端天气、能源中断、交通中断、订单峰值波动等异常场景，配置必要的应急供电、制冷冗余、异常品隔离、应急作业通道和信息化应急管理功能。</w:t>
            </w:r>
          </w:p>
        </w:tc>
        <w:tc>
          <w:tcPr>
            <w:tcW w:w="2410" w:type="dxa"/>
            <w:vAlign w:val="center"/>
          </w:tcPr>
          <w:p w14:paraId="04CD48D6">
            <w:pPr>
              <w:pStyle w:val="18"/>
              <w:adjustRightInd w:val="0"/>
              <w:snapToGrid w:val="0"/>
              <w:ind w:firstLine="0" w:firstLineChars="0"/>
              <w:jc w:val="left"/>
              <w:rPr>
                <w:rFonts w:ascii="Times New Roman"/>
                <w:sz w:val="28"/>
                <w:szCs w:val="28"/>
              </w:rPr>
            </w:pPr>
            <w:r>
              <w:rPr>
                <w:rFonts w:ascii="Times New Roman"/>
                <w:sz w:val="28"/>
                <w:szCs w:val="28"/>
              </w:rPr>
              <w:t>根据低温食品特性与全程冷链的作业特点，相应作业区洁净等级宜按GB 14881、GB 31621的相关规定规划和设计。</w:t>
            </w:r>
          </w:p>
        </w:tc>
        <w:tc>
          <w:tcPr>
            <w:tcW w:w="2268" w:type="dxa"/>
            <w:vMerge w:val="continue"/>
            <w:vAlign w:val="center"/>
          </w:tcPr>
          <w:p w14:paraId="526FDC35">
            <w:pPr>
              <w:pStyle w:val="18"/>
              <w:adjustRightInd w:val="0"/>
              <w:snapToGrid w:val="0"/>
              <w:ind w:firstLine="0" w:firstLineChars="0"/>
              <w:rPr>
                <w:rFonts w:ascii="Times New Roman"/>
                <w:sz w:val="28"/>
                <w:szCs w:val="28"/>
              </w:rPr>
            </w:pPr>
          </w:p>
        </w:tc>
      </w:tr>
      <w:tr w14:paraId="2DCB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0AB698E7">
            <w:pPr>
              <w:jc w:val="center"/>
              <w:rPr>
                <w:rFonts w:ascii="Times New Roman" w:hAnsi="Times New Roman"/>
                <w:sz w:val="28"/>
                <w:szCs w:val="28"/>
              </w:rPr>
            </w:pPr>
            <w:r>
              <w:rPr>
                <w:rFonts w:hint="eastAsia" w:ascii="Times New Roman" w:hAnsi="Times New Roman"/>
                <w:sz w:val="28"/>
                <w:szCs w:val="28"/>
              </w:rPr>
              <w:t>5规划设计</w:t>
            </w:r>
          </w:p>
        </w:tc>
        <w:tc>
          <w:tcPr>
            <w:tcW w:w="706" w:type="dxa"/>
            <w:vAlign w:val="center"/>
          </w:tcPr>
          <w:p w14:paraId="1A147EAE">
            <w:pPr>
              <w:jc w:val="center"/>
              <w:rPr>
                <w:rFonts w:ascii="Times New Roman" w:hAnsi="Times New Roman"/>
                <w:sz w:val="28"/>
                <w:szCs w:val="28"/>
              </w:rPr>
            </w:pPr>
            <w:r>
              <w:rPr>
                <w:rFonts w:hint="eastAsia" w:ascii="Times New Roman" w:hAnsi="Times New Roman"/>
                <w:sz w:val="28"/>
                <w:szCs w:val="28"/>
              </w:rPr>
              <w:t>5.1需求调研</w:t>
            </w:r>
          </w:p>
        </w:tc>
        <w:tc>
          <w:tcPr>
            <w:tcW w:w="3046" w:type="dxa"/>
            <w:vAlign w:val="center"/>
          </w:tcPr>
          <w:p w14:paraId="5B69D7CF">
            <w:pPr>
              <w:pStyle w:val="18"/>
              <w:adjustRightInd w:val="0"/>
              <w:snapToGrid w:val="0"/>
              <w:ind w:firstLine="0" w:firstLineChars="0"/>
              <w:rPr>
                <w:rFonts w:ascii="Times New Roman"/>
                <w:sz w:val="28"/>
                <w:szCs w:val="28"/>
              </w:rPr>
            </w:pPr>
            <w:r>
              <w:rPr>
                <w:rFonts w:hint="eastAsia" w:ascii="Times New Roman"/>
                <w:sz w:val="28"/>
                <w:szCs w:val="28"/>
              </w:rPr>
              <w:t>根据项目单位发展规划，建设食品低温配送中心宜从城市规划、产业布局、客户分布、交通条件、基础设施、环保等方面进行需求调研。</w:t>
            </w:r>
          </w:p>
        </w:tc>
        <w:tc>
          <w:tcPr>
            <w:tcW w:w="2410" w:type="dxa"/>
            <w:vAlign w:val="center"/>
          </w:tcPr>
          <w:p w14:paraId="06890595">
            <w:pPr>
              <w:pStyle w:val="18"/>
              <w:adjustRightInd w:val="0"/>
              <w:snapToGrid w:val="0"/>
              <w:ind w:firstLine="0" w:firstLineChars="0"/>
              <w:jc w:val="left"/>
              <w:rPr>
                <w:rFonts w:ascii="Times New Roman"/>
                <w:sz w:val="28"/>
                <w:szCs w:val="28"/>
              </w:rPr>
            </w:pPr>
            <w:r>
              <w:rPr>
                <w:rFonts w:hint="eastAsia" w:ascii="Times New Roman"/>
                <w:sz w:val="28"/>
                <w:szCs w:val="28"/>
              </w:rPr>
              <w:t>根据企业发展规划，宜从城市规划、产业布局、客户分布、交通条件、基础设施、环保等方面进行调研与综合评价。</w:t>
            </w:r>
          </w:p>
        </w:tc>
        <w:tc>
          <w:tcPr>
            <w:tcW w:w="2268" w:type="dxa"/>
            <w:vMerge w:val="restart"/>
            <w:vAlign w:val="center"/>
          </w:tcPr>
          <w:p w14:paraId="51A7CF63">
            <w:pPr>
              <w:pStyle w:val="18"/>
              <w:adjustRightInd w:val="0"/>
              <w:snapToGrid w:val="0"/>
              <w:ind w:firstLine="0" w:firstLineChars="0"/>
              <w:rPr>
                <w:rFonts w:ascii="Times New Roman"/>
                <w:sz w:val="28"/>
                <w:szCs w:val="28"/>
              </w:rPr>
            </w:pPr>
            <w:r>
              <w:rPr>
                <w:rFonts w:hint="eastAsia" w:ascii="Times New Roman"/>
                <w:sz w:val="28"/>
                <w:szCs w:val="28"/>
              </w:rPr>
              <w:t>更改了规划设计内容（见第5章，2019年版的第5章）。增加配送半径、车辆限行、能源供给、污染源、地质稳定性等项目选址因素，并将食品安全、温控、交通条件、消防、能源保障和后续扩展等因素纳入总体规划，使项目定位、选址和功能布局与业务需求及运营条件相协调。</w:t>
            </w:r>
          </w:p>
        </w:tc>
      </w:tr>
      <w:tr w14:paraId="1418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BB56263">
            <w:pPr>
              <w:jc w:val="center"/>
              <w:rPr>
                <w:rFonts w:ascii="Times New Roman" w:hAnsi="Times New Roman"/>
                <w:sz w:val="28"/>
                <w:szCs w:val="28"/>
              </w:rPr>
            </w:pPr>
          </w:p>
        </w:tc>
        <w:tc>
          <w:tcPr>
            <w:tcW w:w="706" w:type="dxa"/>
            <w:vAlign w:val="center"/>
          </w:tcPr>
          <w:p w14:paraId="388C3CB1">
            <w:pPr>
              <w:jc w:val="center"/>
              <w:rPr>
                <w:rFonts w:ascii="Times New Roman" w:hAnsi="Times New Roman"/>
                <w:sz w:val="28"/>
                <w:szCs w:val="28"/>
              </w:rPr>
            </w:pPr>
            <w:r>
              <w:rPr>
                <w:rFonts w:hint="eastAsia" w:ascii="Times New Roman" w:hAnsi="Times New Roman"/>
                <w:sz w:val="28"/>
                <w:szCs w:val="28"/>
              </w:rPr>
              <w:t>5.2项目定位</w:t>
            </w:r>
          </w:p>
        </w:tc>
        <w:tc>
          <w:tcPr>
            <w:tcW w:w="3046" w:type="dxa"/>
            <w:vAlign w:val="center"/>
          </w:tcPr>
          <w:p w14:paraId="030732C1">
            <w:pPr>
              <w:pStyle w:val="18"/>
              <w:adjustRightInd w:val="0"/>
              <w:snapToGrid w:val="0"/>
              <w:ind w:firstLine="0" w:firstLineChars="0"/>
              <w:rPr>
                <w:rFonts w:ascii="Times New Roman"/>
                <w:sz w:val="28"/>
                <w:szCs w:val="28"/>
              </w:rPr>
            </w:pPr>
            <w:r>
              <w:rPr>
                <w:rFonts w:hint="eastAsia" w:ascii="Times New Roman"/>
                <w:sz w:val="28"/>
                <w:szCs w:val="28"/>
              </w:rPr>
              <w:t>宜对产业、市场、客群等调研数据进行综合分析，确定项目的市场定位、目标客群和功能定位。</w:t>
            </w:r>
          </w:p>
        </w:tc>
        <w:tc>
          <w:tcPr>
            <w:tcW w:w="2410" w:type="dxa"/>
            <w:vAlign w:val="center"/>
          </w:tcPr>
          <w:p w14:paraId="4632C94A">
            <w:pPr>
              <w:pStyle w:val="18"/>
              <w:adjustRightInd w:val="0"/>
              <w:snapToGrid w:val="0"/>
              <w:ind w:firstLine="0" w:firstLineChars="0"/>
              <w:jc w:val="left"/>
              <w:rPr>
                <w:rFonts w:ascii="Times New Roman"/>
                <w:sz w:val="28"/>
                <w:szCs w:val="28"/>
              </w:rPr>
            </w:pPr>
            <w:r>
              <w:rPr>
                <w:rFonts w:hint="eastAsia" w:ascii="Times New Roman"/>
                <w:sz w:val="28"/>
                <w:szCs w:val="28"/>
              </w:rPr>
              <w:t>根据调研数据，宜对物流模式、物流策略、功能、产品、加工需求梳理以及物流信息管理系统进行定位分析，并确定项目定位。</w:t>
            </w:r>
          </w:p>
        </w:tc>
        <w:tc>
          <w:tcPr>
            <w:tcW w:w="2268" w:type="dxa"/>
            <w:vMerge w:val="continue"/>
            <w:vAlign w:val="center"/>
          </w:tcPr>
          <w:p w14:paraId="2560F80D">
            <w:pPr>
              <w:pStyle w:val="18"/>
              <w:adjustRightInd w:val="0"/>
              <w:snapToGrid w:val="0"/>
              <w:ind w:firstLine="0" w:firstLineChars="0"/>
              <w:rPr>
                <w:rFonts w:ascii="Times New Roman"/>
                <w:sz w:val="28"/>
                <w:szCs w:val="28"/>
              </w:rPr>
            </w:pPr>
          </w:p>
        </w:tc>
      </w:tr>
      <w:tr w14:paraId="03DF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017CF86">
            <w:pPr>
              <w:jc w:val="center"/>
              <w:rPr>
                <w:rFonts w:ascii="Times New Roman" w:hAnsi="Times New Roman"/>
                <w:sz w:val="28"/>
                <w:szCs w:val="28"/>
              </w:rPr>
            </w:pPr>
          </w:p>
        </w:tc>
        <w:tc>
          <w:tcPr>
            <w:tcW w:w="706" w:type="dxa"/>
            <w:vAlign w:val="center"/>
          </w:tcPr>
          <w:p w14:paraId="1C810CB1">
            <w:pPr>
              <w:jc w:val="center"/>
              <w:rPr>
                <w:rFonts w:ascii="Times New Roman" w:hAnsi="Times New Roman"/>
                <w:sz w:val="28"/>
                <w:szCs w:val="28"/>
              </w:rPr>
            </w:pPr>
            <w:r>
              <w:rPr>
                <w:rFonts w:hint="eastAsia" w:ascii="Times New Roman" w:hAnsi="Times New Roman"/>
                <w:sz w:val="28"/>
                <w:szCs w:val="28"/>
              </w:rPr>
              <w:t>5.3项目选址</w:t>
            </w:r>
          </w:p>
        </w:tc>
        <w:tc>
          <w:tcPr>
            <w:tcW w:w="3046" w:type="dxa"/>
            <w:vAlign w:val="center"/>
          </w:tcPr>
          <w:p w14:paraId="67BB11B1">
            <w:pPr>
              <w:pStyle w:val="18"/>
              <w:adjustRightInd w:val="0"/>
              <w:snapToGrid w:val="0"/>
              <w:ind w:firstLine="0" w:firstLineChars="0"/>
              <w:rPr>
                <w:rFonts w:ascii="Times New Roman"/>
                <w:sz w:val="28"/>
                <w:szCs w:val="28"/>
              </w:rPr>
            </w:pPr>
            <w:r>
              <w:rPr>
                <w:rFonts w:hint="eastAsia" w:ascii="Times New Roman"/>
                <w:sz w:val="28"/>
                <w:szCs w:val="28"/>
              </w:rPr>
              <w:t>宜根据需求调研、项目定位，结合配送半径、车辆限行、能源供给、污染源、地质稳定性等因素，进行食品低温配送中心的建设选址。</w:t>
            </w:r>
          </w:p>
        </w:tc>
        <w:tc>
          <w:tcPr>
            <w:tcW w:w="2410" w:type="dxa"/>
            <w:vAlign w:val="center"/>
          </w:tcPr>
          <w:p w14:paraId="0EA2B2D5">
            <w:pPr>
              <w:pStyle w:val="18"/>
              <w:adjustRightInd w:val="0"/>
              <w:snapToGrid w:val="0"/>
              <w:ind w:firstLine="0" w:firstLineChars="0"/>
              <w:jc w:val="left"/>
              <w:rPr>
                <w:rFonts w:ascii="Times New Roman"/>
                <w:sz w:val="28"/>
                <w:szCs w:val="28"/>
              </w:rPr>
            </w:pPr>
            <w:r>
              <w:rPr>
                <w:rFonts w:hint="eastAsia" w:ascii="Times New Roman"/>
                <w:sz w:val="28"/>
                <w:szCs w:val="28"/>
              </w:rPr>
              <w:t>根据需求调研、项目定位进行低温配送中心建设的选址。</w:t>
            </w:r>
          </w:p>
        </w:tc>
        <w:tc>
          <w:tcPr>
            <w:tcW w:w="2268" w:type="dxa"/>
            <w:vMerge w:val="continue"/>
            <w:vAlign w:val="center"/>
          </w:tcPr>
          <w:p w14:paraId="12B34EB4">
            <w:pPr>
              <w:pStyle w:val="18"/>
              <w:adjustRightInd w:val="0"/>
              <w:snapToGrid w:val="0"/>
              <w:ind w:firstLine="0" w:firstLineChars="0"/>
              <w:rPr>
                <w:rFonts w:ascii="Times New Roman"/>
                <w:sz w:val="28"/>
                <w:szCs w:val="28"/>
              </w:rPr>
            </w:pPr>
          </w:p>
        </w:tc>
      </w:tr>
      <w:tr w14:paraId="44E7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2EB78288">
            <w:pPr>
              <w:jc w:val="center"/>
              <w:rPr>
                <w:rFonts w:ascii="Times New Roman" w:hAnsi="Times New Roman"/>
                <w:sz w:val="28"/>
                <w:szCs w:val="28"/>
              </w:rPr>
            </w:pPr>
          </w:p>
        </w:tc>
        <w:tc>
          <w:tcPr>
            <w:tcW w:w="706" w:type="dxa"/>
            <w:vAlign w:val="center"/>
          </w:tcPr>
          <w:p w14:paraId="511766C9">
            <w:pPr>
              <w:jc w:val="center"/>
              <w:rPr>
                <w:rFonts w:ascii="Times New Roman" w:hAnsi="Times New Roman"/>
                <w:sz w:val="28"/>
                <w:szCs w:val="28"/>
              </w:rPr>
            </w:pPr>
            <w:r>
              <w:rPr>
                <w:rFonts w:hint="eastAsia" w:ascii="Times New Roman" w:hAnsi="Times New Roman"/>
                <w:sz w:val="28"/>
                <w:szCs w:val="28"/>
              </w:rPr>
              <w:t>5.4总体规划</w:t>
            </w:r>
          </w:p>
        </w:tc>
        <w:tc>
          <w:tcPr>
            <w:tcW w:w="3046" w:type="dxa"/>
            <w:vAlign w:val="center"/>
          </w:tcPr>
          <w:p w14:paraId="64BA4970">
            <w:pPr>
              <w:pStyle w:val="18"/>
              <w:adjustRightInd w:val="0"/>
              <w:snapToGrid w:val="0"/>
              <w:ind w:firstLine="0" w:firstLineChars="0"/>
              <w:rPr>
                <w:rFonts w:ascii="Times New Roman"/>
                <w:sz w:val="28"/>
                <w:szCs w:val="28"/>
              </w:rPr>
            </w:pPr>
            <w:r>
              <w:rPr>
                <w:rFonts w:ascii="Times New Roman"/>
                <w:sz w:val="28"/>
                <w:szCs w:val="28"/>
              </w:rPr>
              <w:t>依据项目定位和用地规划，</w:t>
            </w:r>
            <w:r>
              <w:rPr>
                <w:rFonts w:hint="eastAsia" w:ascii="Times New Roman"/>
                <w:sz w:val="28"/>
                <w:szCs w:val="28"/>
              </w:rPr>
              <w:t>结合</w:t>
            </w:r>
            <w:r>
              <w:rPr>
                <w:rFonts w:ascii="Times New Roman"/>
                <w:sz w:val="28"/>
                <w:szCs w:val="28"/>
              </w:rPr>
              <w:t>气候条件、地势状况、交通条件、消防等因素，对主体</w:t>
            </w:r>
            <w:r>
              <w:rPr>
                <w:rFonts w:hint="eastAsia" w:ascii="Times New Roman"/>
                <w:sz w:val="28"/>
                <w:szCs w:val="28"/>
              </w:rPr>
              <w:t>设施</w:t>
            </w:r>
            <w:r>
              <w:rPr>
                <w:rFonts w:ascii="Times New Roman"/>
                <w:sz w:val="28"/>
                <w:szCs w:val="28"/>
              </w:rPr>
              <w:t>、核心功能区、</w:t>
            </w:r>
            <w:r>
              <w:rPr>
                <w:rFonts w:hint="eastAsia" w:ascii="Times New Roman"/>
                <w:sz w:val="28"/>
                <w:szCs w:val="28"/>
              </w:rPr>
              <w:t>温控系统、</w:t>
            </w:r>
            <w:r>
              <w:rPr>
                <w:rFonts w:ascii="Times New Roman"/>
                <w:sz w:val="28"/>
                <w:szCs w:val="28"/>
              </w:rPr>
              <w:t>道路及动线、</w:t>
            </w:r>
            <w:r>
              <w:rPr>
                <w:rFonts w:hint="eastAsia" w:ascii="Times New Roman"/>
                <w:sz w:val="28"/>
                <w:szCs w:val="28"/>
              </w:rPr>
              <w:t>作业设备</w:t>
            </w:r>
            <w:r>
              <w:rPr>
                <w:rFonts w:ascii="Times New Roman"/>
                <w:sz w:val="28"/>
                <w:szCs w:val="28"/>
              </w:rPr>
              <w:t>、</w:t>
            </w:r>
            <w:r>
              <w:rPr>
                <w:rFonts w:hint="eastAsia" w:ascii="Times New Roman"/>
                <w:sz w:val="28"/>
                <w:szCs w:val="28"/>
              </w:rPr>
              <w:t>能源与节能环保、安全与卫生、</w:t>
            </w:r>
            <w:r>
              <w:rPr>
                <w:rFonts w:ascii="Times New Roman"/>
                <w:sz w:val="28"/>
                <w:szCs w:val="28"/>
              </w:rPr>
              <w:t>信息化</w:t>
            </w:r>
            <w:r>
              <w:rPr>
                <w:rFonts w:hint="eastAsia" w:ascii="Times New Roman"/>
                <w:sz w:val="28"/>
                <w:szCs w:val="28"/>
              </w:rPr>
              <w:t>与智能化</w:t>
            </w:r>
            <w:r>
              <w:rPr>
                <w:rFonts w:ascii="Times New Roman"/>
                <w:sz w:val="28"/>
                <w:szCs w:val="28"/>
              </w:rPr>
              <w:t>等</w:t>
            </w:r>
            <w:r>
              <w:rPr>
                <w:rFonts w:hint="eastAsia" w:ascii="Times New Roman"/>
                <w:sz w:val="28"/>
                <w:szCs w:val="28"/>
              </w:rPr>
              <w:t>因素</w:t>
            </w:r>
            <w:r>
              <w:rPr>
                <w:rFonts w:ascii="Times New Roman"/>
                <w:sz w:val="28"/>
                <w:szCs w:val="28"/>
              </w:rPr>
              <w:t>进行合理布局。</w:t>
            </w:r>
          </w:p>
        </w:tc>
        <w:tc>
          <w:tcPr>
            <w:tcW w:w="2410" w:type="dxa"/>
            <w:vAlign w:val="center"/>
          </w:tcPr>
          <w:p w14:paraId="59A046B2">
            <w:pPr>
              <w:adjustRightInd w:val="0"/>
              <w:snapToGrid w:val="0"/>
              <w:jc w:val="left"/>
              <w:rPr>
                <w:rFonts w:ascii="Times New Roman" w:hAnsi="Times New Roman" w:eastAsia="宋体" w:cs="Times New Roman"/>
                <w:kern w:val="0"/>
                <w:sz w:val="28"/>
                <w:szCs w:val="28"/>
              </w:rPr>
            </w:pPr>
            <w:r>
              <w:rPr>
                <w:rFonts w:hint="eastAsia" w:ascii="Times New Roman" w:hAnsi="Times New Roman" w:eastAsia="宋体" w:cs="Times New Roman"/>
                <w:kern w:val="0"/>
                <w:sz w:val="28"/>
                <w:szCs w:val="28"/>
              </w:rPr>
              <w:t>依据项目定位和项目用地规划，宜综合考虑气候条件、地势状况、交通条件、消防等因素，对主体冷库建筑(含制冷机房）、核心功能区、配套设施、道路及作业动线等进行合理布局。</w:t>
            </w:r>
          </w:p>
        </w:tc>
        <w:tc>
          <w:tcPr>
            <w:tcW w:w="2268" w:type="dxa"/>
            <w:vMerge w:val="continue"/>
            <w:vAlign w:val="center"/>
          </w:tcPr>
          <w:p w14:paraId="74C501EA">
            <w:pPr>
              <w:adjustRightInd w:val="0"/>
              <w:snapToGrid w:val="0"/>
              <w:jc w:val="left"/>
              <w:rPr>
                <w:rFonts w:ascii="Times New Roman" w:hAnsi="Times New Roman" w:eastAsia="宋体" w:cs="Times New Roman"/>
                <w:kern w:val="0"/>
                <w:sz w:val="28"/>
                <w:szCs w:val="28"/>
              </w:rPr>
            </w:pPr>
          </w:p>
        </w:tc>
      </w:tr>
      <w:tr w14:paraId="3750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3E2398EC">
            <w:pPr>
              <w:jc w:val="center"/>
              <w:rPr>
                <w:rFonts w:ascii="Times New Roman" w:hAnsi="Times New Roman"/>
                <w:sz w:val="28"/>
                <w:szCs w:val="28"/>
              </w:rPr>
            </w:pPr>
            <w:r>
              <w:rPr>
                <w:rFonts w:hint="eastAsia" w:ascii="Times New Roman" w:hAnsi="Times New Roman"/>
                <w:sz w:val="28"/>
                <w:szCs w:val="28"/>
              </w:rPr>
              <w:t>6主体设施</w:t>
            </w:r>
          </w:p>
        </w:tc>
        <w:tc>
          <w:tcPr>
            <w:tcW w:w="706" w:type="dxa"/>
            <w:vAlign w:val="center"/>
          </w:tcPr>
          <w:p w14:paraId="76AE7AE2">
            <w:pPr>
              <w:jc w:val="center"/>
              <w:rPr>
                <w:rFonts w:ascii="Times New Roman" w:hAnsi="Times New Roman"/>
                <w:sz w:val="28"/>
                <w:szCs w:val="28"/>
              </w:rPr>
            </w:pPr>
            <w:r>
              <w:rPr>
                <w:rFonts w:hint="eastAsia" w:ascii="Times New Roman" w:hAnsi="Times New Roman"/>
                <w:sz w:val="28"/>
                <w:szCs w:val="28"/>
              </w:rPr>
              <w:t>6.1冷库建筑</w:t>
            </w:r>
          </w:p>
        </w:tc>
        <w:tc>
          <w:tcPr>
            <w:tcW w:w="3046" w:type="dxa"/>
            <w:vAlign w:val="center"/>
          </w:tcPr>
          <w:p w14:paraId="5E6600CD">
            <w:pPr>
              <w:pStyle w:val="18"/>
              <w:adjustRightInd w:val="0"/>
              <w:snapToGrid w:val="0"/>
              <w:ind w:firstLine="0" w:firstLineChars="0"/>
              <w:rPr>
                <w:rFonts w:ascii="Times New Roman"/>
                <w:sz w:val="28"/>
                <w:szCs w:val="28"/>
              </w:rPr>
            </w:pPr>
            <w:r>
              <w:rPr>
                <w:rFonts w:hint="eastAsia" w:ascii="Times New Roman"/>
                <w:sz w:val="28"/>
                <w:szCs w:val="28"/>
              </w:rPr>
              <w:t>6.1.1　建筑形式可根据用地条件、作业模式、自动化水平和投资运营成本，综合对比成本、绿色、效率最优方案，选择单层冷库、多层冷库、坡道冷库、自动化立体冷库、装配式冷库、前置型低温仓等形式。</w:t>
            </w:r>
          </w:p>
          <w:p w14:paraId="0A399038">
            <w:pPr>
              <w:pStyle w:val="18"/>
              <w:adjustRightInd w:val="0"/>
              <w:snapToGrid w:val="0"/>
              <w:ind w:firstLine="0" w:firstLineChars="0"/>
              <w:rPr>
                <w:rFonts w:ascii="Times New Roman"/>
                <w:sz w:val="28"/>
                <w:szCs w:val="28"/>
              </w:rPr>
            </w:pPr>
            <w:r>
              <w:rPr>
                <w:rFonts w:hint="eastAsia" w:ascii="Times New Roman"/>
                <w:sz w:val="28"/>
                <w:szCs w:val="28"/>
              </w:rPr>
              <w:t>6.1.2　根据食品品类及存储方式、仓库面积、容积率、货架类型、作业机械等因素，确定实际冷库的高度。</w:t>
            </w:r>
          </w:p>
          <w:p w14:paraId="5D5E5C5B">
            <w:pPr>
              <w:pStyle w:val="18"/>
              <w:adjustRightInd w:val="0"/>
              <w:snapToGrid w:val="0"/>
              <w:ind w:firstLine="0" w:firstLineChars="0"/>
              <w:rPr>
                <w:rFonts w:ascii="Times New Roman"/>
                <w:sz w:val="28"/>
                <w:szCs w:val="28"/>
              </w:rPr>
            </w:pPr>
            <w:r>
              <w:rPr>
                <w:rFonts w:hint="eastAsia" w:ascii="Times New Roman"/>
                <w:sz w:val="28"/>
                <w:szCs w:val="28"/>
              </w:rPr>
              <w:t>6.1.3　冷库温度设计在满足食品品质要求的基础上，宜设置温度可调的功能区域。冷库建筑规划为二层以上时，垂直方向宜设计为同温区。</w:t>
            </w:r>
          </w:p>
          <w:p w14:paraId="0809E8C0">
            <w:pPr>
              <w:pStyle w:val="18"/>
              <w:adjustRightInd w:val="0"/>
              <w:snapToGrid w:val="0"/>
              <w:ind w:firstLine="0" w:firstLineChars="0"/>
              <w:rPr>
                <w:rFonts w:ascii="Times New Roman"/>
                <w:sz w:val="28"/>
                <w:szCs w:val="28"/>
              </w:rPr>
            </w:pPr>
            <w:r>
              <w:rPr>
                <w:rFonts w:hint="eastAsia" w:ascii="Times New Roman"/>
                <w:sz w:val="28"/>
                <w:szCs w:val="28"/>
              </w:rPr>
              <w:t>6.1.4　冷库和制冷系统执行GB 50016、GB 50072—2021、GB 51157的规定，宜依据GB/T 28581规划设计。冷库主体结构宜采用大柱网形式。首层地坪宜采用绿色、高效的架空地坪方案。</w:t>
            </w:r>
          </w:p>
          <w:p w14:paraId="765F23DB">
            <w:pPr>
              <w:pStyle w:val="18"/>
              <w:adjustRightInd w:val="0"/>
              <w:snapToGrid w:val="0"/>
              <w:ind w:firstLine="0" w:firstLineChars="0"/>
              <w:rPr>
                <w:rFonts w:ascii="Times New Roman"/>
                <w:sz w:val="28"/>
                <w:szCs w:val="28"/>
              </w:rPr>
            </w:pPr>
            <w:r>
              <w:rPr>
                <w:rFonts w:hint="eastAsia" w:ascii="Times New Roman"/>
                <w:sz w:val="28"/>
                <w:szCs w:val="28"/>
              </w:rPr>
              <w:t>6.1.5　宜根据托盘、周转箱、笼车、料箱、保温箱等标准化载具规划设计货架、叉车、堆垛机、穿梭车、输送线、自动导引车（AGV）、自主移动机器人（AMR）系统。</w:t>
            </w:r>
          </w:p>
        </w:tc>
        <w:tc>
          <w:tcPr>
            <w:tcW w:w="2410" w:type="dxa"/>
            <w:vAlign w:val="center"/>
          </w:tcPr>
          <w:p w14:paraId="1B62C8C7">
            <w:pPr>
              <w:pStyle w:val="18"/>
              <w:adjustRightInd w:val="0"/>
              <w:snapToGrid w:val="0"/>
              <w:ind w:firstLine="0" w:firstLineChars="0"/>
              <w:rPr>
                <w:rFonts w:ascii="Times New Roman"/>
                <w:sz w:val="28"/>
                <w:szCs w:val="28"/>
              </w:rPr>
            </w:pPr>
            <w:r>
              <w:rPr>
                <w:rFonts w:hint="eastAsia" w:ascii="Times New Roman"/>
                <w:sz w:val="28"/>
                <w:szCs w:val="28"/>
              </w:rPr>
              <w:t>6.1.1　低温配送中心冷库的温度设计需考虑满足食品的温度要求的因素。还宜设置温度可调的功能区域。</w:t>
            </w:r>
          </w:p>
          <w:p w14:paraId="37BD2BF9">
            <w:pPr>
              <w:pStyle w:val="18"/>
              <w:adjustRightInd w:val="0"/>
              <w:snapToGrid w:val="0"/>
              <w:ind w:firstLine="0" w:firstLineChars="0"/>
              <w:rPr>
                <w:rFonts w:ascii="Times New Roman"/>
                <w:sz w:val="28"/>
                <w:szCs w:val="28"/>
              </w:rPr>
            </w:pPr>
            <w:r>
              <w:rPr>
                <w:rFonts w:hint="eastAsia" w:ascii="Times New Roman"/>
                <w:sz w:val="28"/>
                <w:szCs w:val="28"/>
              </w:rPr>
              <w:t>6.1.2　冷库建筑形式可为楼房库和单层库（含立体库），混凝土结构冷库宜按GB 50072相关规定进行规划和设计，钢结构冷库宜按SBJ 17相关规定进行。</w:t>
            </w:r>
          </w:p>
          <w:p w14:paraId="6F4CB357">
            <w:pPr>
              <w:pStyle w:val="18"/>
              <w:adjustRightInd w:val="0"/>
              <w:snapToGrid w:val="0"/>
              <w:ind w:firstLine="0" w:firstLineChars="0"/>
              <w:rPr>
                <w:rFonts w:ascii="Times New Roman"/>
                <w:sz w:val="28"/>
                <w:szCs w:val="28"/>
              </w:rPr>
            </w:pPr>
            <w:r>
              <w:rPr>
                <w:rFonts w:hint="eastAsia" w:ascii="Times New Roman"/>
                <w:sz w:val="28"/>
                <w:szCs w:val="28"/>
              </w:rPr>
              <w:t>6.1.3　冷库柱网结构设计宜按GB 50072、GB/T 28581 —2012、SBJ 17相关规定进行。同时在设计时宜考虑“1.2 m×1.0 m”的托盘尺寸以及货架、叉车的具体情况。</w:t>
            </w:r>
          </w:p>
          <w:p w14:paraId="6C89002C">
            <w:pPr>
              <w:pStyle w:val="18"/>
              <w:adjustRightInd w:val="0"/>
              <w:snapToGrid w:val="0"/>
              <w:ind w:firstLine="0" w:firstLineChars="0"/>
              <w:rPr>
                <w:rFonts w:ascii="Times New Roman"/>
                <w:sz w:val="28"/>
                <w:szCs w:val="28"/>
              </w:rPr>
            </w:pPr>
            <w:r>
              <w:rPr>
                <w:rFonts w:hint="eastAsia" w:ascii="Times New Roman"/>
                <w:sz w:val="28"/>
                <w:szCs w:val="28"/>
              </w:rPr>
              <w:t>6.1.4　可根据食品品类及存储方式，考虑仓库面积、容积率、货架类型、作业机械等因素，确定实际冷库的高度。</w:t>
            </w:r>
          </w:p>
          <w:p w14:paraId="5ED883A8">
            <w:pPr>
              <w:pStyle w:val="18"/>
              <w:adjustRightInd w:val="0"/>
              <w:snapToGrid w:val="0"/>
              <w:ind w:firstLine="0" w:firstLineChars="0"/>
              <w:rPr>
                <w:rFonts w:ascii="Times New Roman"/>
                <w:sz w:val="28"/>
                <w:szCs w:val="28"/>
              </w:rPr>
            </w:pPr>
            <w:r>
              <w:rPr>
                <w:rFonts w:hint="eastAsia" w:ascii="Times New Roman"/>
                <w:sz w:val="28"/>
                <w:szCs w:val="28"/>
              </w:rPr>
              <w:t>6.1.5　地面采用防污染、易清洗、耐磨损的材料，地面的承重宜按GB/T 28581—2012中5.2.4.1的规定进行设计，采用多层货架时，需要考虑对仓库地面进行超平处理。</w:t>
            </w:r>
          </w:p>
          <w:p w14:paraId="333F9E9F">
            <w:pPr>
              <w:pStyle w:val="18"/>
              <w:adjustRightInd w:val="0"/>
              <w:snapToGrid w:val="0"/>
              <w:ind w:firstLine="0" w:firstLineChars="0"/>
              <w:rPr>
                <w:rFonts w:ascii="Times New Roman"/>
                <w:sz w:val="28"/>
                <w:szCs w:val="28"/>
              </w:rPr>
            </w:pPr>
            <w:r>
              <w:rPr>
                <w:rFonts w:hint="eastAsia" w:ascii="Times New Roman"/>
                <w:sz w:val="28"/>
                <w:szCs w:val="28"/>
              </w:rPr>
              <w:t>6.1.6　冻结物冷库需考虑地面以下的防冻处理。</w:t>
            </w:r>
          </w:p>
          <w:p w14:paraId="3AEF6FF6">
            <w:pPr>
              <w:pStyle w:val="18"/>
              <w:adjustRightInd w:val="0"/>
              <w:snapToGrid w:val="0"/>
              <w:ind w:firstLine="0" w:firstLineChars="0"/>
              <w:rPr>
                <w:rFonts w:ascii="Times New Roman"/>
                <w:sz w:val="28"/>
                <w:szCs w:val="28"/>
              </w:rPr>
            </w:pPr>
            <w:r>
              <w:rPr>
                <w:rFonts w:hint="eastAsia" w:ascii="Times New Roman"/>
                <w:sz w:val="28"/>
                <w:szCs w:val="28"/>
              </w:rPr>
              <w:t>6.1.7　需考虑配备必要的防撞与保护设施。</w:t>
            </w:r>
          </w:p>
        </w:tc>
        <w:tc>
          <w:tcPr>
            <w:tcW w:w="2268" w:type="dxa"/>
            <w:vAlign w:val="center"/>
          </w:tcPr>
          <w:p w14:paraId="0EA6FD52">
            <w:pPr>
              <w:pStyle w:val="18"/>
              <w:adjustRightInd w:val="0"/>
              <w:snapToGrid w:val="0"/>
              <w:ind w:firstLine="0" w:firstLineChars="0"/>
              <w:rPr>
                <w:rFonts w:ascii="Times New Roman"/>
                <w:sz w:val="28"/>
                <w:szCs w:val="28"/>
              </w:rPr>
            </w:pPr>
            <w:r>
              <w:rPr>
                <w:rFonts w:hint="eastAsia" w:ascii="Times New Roman"/>
                <w:sz w:val="28"/>
                <w:szCs w:val="28"/>
              </w:rPr>
              <w:t>更改了冷库建筑的内容（见6.1，2019年版的6.1）。将“主体建筑”更改为“主体设施”，并将相关内容扩展为冷库建筑、控温封闭站台、作业车间、检测用房和配套用房，进一步明确不同建筑实体和功能空间在食品低温配送中心中的配置关系。增加单层冷库、多层冷库、坡道冷库、自动化立体冷库、装配式冷库和前置型低温仓等建筑形式，并增加托盘、周转箱、笼车、料箱、保温箱等标准化载具与货架、叉车、堆垛机、穿梭车、输送线、AGV和AMR等设施设备相适配的建议。</w:t>
            </w:r>
          </w:p>
        </w:tc>
      </w:tr>
      <w:tr w14:paraId="2F03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7A851320">
            <w:pPr>
              <w:jc w:val="center"/>
              <w:rPr>
                <w:rFonts w:ascii="Times New Roman" w:hAnsi="Times New Roman"/>
                <w:sz w:val="28"/>
                <w:szCs w:val="28"/>
              </w:rPr>
            </w:pPr>
          </w:p>
        </w:tc>
        <w:tc>
          <w:tcPr>
            <w:tcW w:w="706" w:type="dxa"/>
            <w:vAlign w:val="center"/>
          </w:tcPr>
          <w:p w14:paraId="5E3BA544">
            <w:pPr>
              <w:jc w:val="center"/>
              <w:rPr>
                <w:rFonts w:ascii="Times New Roman" w:hAnsi="Times New Roman"/>
                <w:sz w:val="28"/>
                <w:szCs w:val="28"/>
              </w:rPr>
            </w:pPr>
            <w:r>
              <w:rPr>
                <w:rFonts w:hint="eastAsia" w:ascii="Times New Roman" w:hAnsi="Times New Roman"/>
                <w:sz w:val="28"/>
                <w:szCs w:val="28"/>
              </w:rPr>
              <w:t>6.2控温封闭站台</w:t>
            </w:r>
          </w:p>
        </w:tc>
        <w:tc>
          <w:tcPr>
            <w:tcW w:w="3046" w:type="dxa"/>
            <w:vAlign w:val="center"/>
          </w:tcPr>
          <w:p w14:paraId="7537294F">
            <w:pPr>
              <w:pStyle w:val="18"/>
              <w:adjustRightInd w:val="0"/>
              <w:snapToGrid w:val="0"/>
              <w:ind w:firstLine="0" w:firstLineChars="0"/>
              <w:rPr>
                <w:rFonts w:ascii="Times New Roman"/>
                <w:sz w:val="28"/>
                <w:szCs w:val="28"/>
              </w:rPr>
            </w:pPr>
            <w:r>
              <w:rPr>
                <w:rFonts w:hint="eastAsia" w:ascii="Times New Roman"/>
                <w:sz w:val="28"/>
                <w:szCs w:val="28"/>
              </w:rPr>
              <w:t>6.2.1　车辆停靠站台方式宜采用多种模式，包括但不限于垂直停靠、30°停靠、45°停靠、平行停靠、镶嵌式停靠，宜为带尾板配送车辆设置站台尾板插槽。</w:t>
            </w:r>
          </w:p>
          <w:p w14:paraId="6038C44B">
            <w:pPr>
              <w:pStyle w:val="18"/>
              <w:adjustRightInd w:val="0"/>
              <w:snapToGrid w:val="0"/>
              <w:ind w:firstLine="0" w:firstLineChars="0"/>
              <w:rPr>
                <w:rFonts w:ascii="Times New Roman"/>
                <w:sz w:val="28"/>
                <w:szCs w:val="28"/>
              </w:rPr>
            </w:pPr>
            <w:r>
              <w:rPr>
                <w:rFonts w:hint="eastAsia" w:ascii="Times New Roman"/>
                <w:sz w:val="28"/>
                <w:szCs w:val="28"/>
              </w:rPr>
              <w:t>6.2.2　站台高度、宽度和面积及罩棚执行GB 50072—2021中4.2的规定。</w:t>
            </w:r>
          </w:p>
          <w:p w14:paraId="7CCF502D">
            <w:pPr>
              <w:pStyle w:val="18"/>
              <w:adjustRightInd w:val="0"/>
              <w:snapToGrid w:val="0"/>
              <w:ind w:firstLine="0" w:firstLineChars="0"/>
              <w:rPr>
                <w:rFonts w:ascii="Times New Roman"/>
                <w:sz w:val="28"/>
                <w:szCs w:val="28"/>
              </w:rPr>
            </w:pPr>
            <w:r>
              <w:rPr>
                <w:rFonts w:hint="eastAsia" w:ascii="Times New Roman"/>
                <w:sz w:val="28"/>
                <w:szCs w:val="28"/>
              </w:rPr>
              <w:t>6.2.3　照明设施宜依据GB/T 28581—2021中6.1规划设计。</w:t>
            </w:r>
          </w:p>
          <w:p w14:paraId="7E235ADB">
            <w:pPr>
              <w:pStyle w:val="18"/>
              <w:adjustRightInd w:val="0"/>
              <w:snapToGrid w:val="0"/>
              <w:ind w:firstLine="0" w:firstLineChars="0"/>
              <w:rPr>
                <w:rFonts w:ascii="Times New Roman"/>
                <w:sz w:val="28"/>
                <w:szCs w:val="28"/>
              </w:rPr>
            </w:pPr>
            <w:r>
              <w:rPr>
                <w:rFonts w:hint="eastAsia" w:ascii="Times New Roman"/>
                <w:sz w:val="28"/>
                <w:szCs w:val="28"/>
              </w:rPr>
              <w:t>6.2.4　站台围护结构执行GB 50072—2021中4.2和GB 51157—2016中9.4的规定。</w:t>
            </w:r>
          </w:p>
        </w:tc>
        <w:tc>
          <w:tcPr>
            <w:tcW w:w="2410" w:type="dxa"/>
            <w:vAlign w:val="center"/>
          </w:tcPr>
          <w:p w14:paraId="30CFFD0C">
            <w:pPr>
              <w:pStyle w:val="18"/>
              <w:adjustRightInd w:val="0"/>
              <w:snapToGrid w:val="0"/>
              <w:ind w:firstLine="0" w:firstLineChars="0"/>
              <w:rPr>
                <w:rFonts w:ascii="Times New Roman"/>
                <w:sz w:val="28"/>
                <w:szCs w:val="28"/>
              </w:rPr>
            </w:pPr>
            <w:r>
              <w:rPr>
                <w:rFonts w:hint="eastAsia" w:ascii="Times New Roman"/>
                <w:sz w:val="28"/>
                <w:szCs w:val="28"/>
              </w:rPr>
              <w:t>6.2.1　需考虑选择对开或滑升的装卸门，并考虑配备有装卸门密封罩。</w:t>
            </w:r>
          </w:p>
          <w:p w14:paraId="362B7CC4">
            <w:pPr>
              <w:pStyle w:val="18"/>
              <w:adjustRightInd w:val="0"/>
              <w:snapToGrid w:val="0"/>
              <w:ind w:firstLine="0" w:firstLineChars="0"/>
              <w:rPr>
                <w:rFonts w:ascii="Times New Roman"/>
                <w:sz w:val="28"/>
                <w:szCs w:val="28"/>
              </w:rPr>
            </w:pPr>
            <w:r>
              <w:rPr>
                <w:rFonts w:hint="eastAsia" w:ascii="Times New Roman"/>
                <w:sz w:val="28"/>
                <w:szCs w:val="28"/>
              </w:rPr>
              <w:t>6.2.2　站台高度需考虑与到货、配送车辆底盘高度相匹配，宜按GB/T 28581—2012中5.2.5.1的规定设计。需考虑根据收发货量与作业频率，确定装卸门与登车桥的设置数量。</w:t>
            </w:r>
          </w:p>
          <w:p w14:paraId="3D5E4904">
            <w:pPr>
              <w:pStyle w:val="18"/>
              <w:adjustRightInd w:val="0"/>
              <w:snapToGrid w:val="0"/>
              <w:ind w:firstLine="0" w:firstLineChars="0"/>
              <w:rPr>
                <w:rFonts w:ascii="Times New Roman"/>
                <w:sz w:val="28"/>
                <w:szCs w:val="28"/>
              </w:rPr>
            </w:pPr>
            <w:r>
              <w:rPr>
                <w:rFonts w:hint="eastAsia" w:ascii="Times New Roman"/>
                <w:sz w:val="28"/>
                <w:szCs w:val="28"/>
              </w:rPr>
              <w:t>6.2.3　有收发货、分拣、暂存等作业需求的，需考虑按作业需求设置站台宽度。如果仅用于装卸与收发货作业，根据作业机械类型、叉车回转半径等进行设计，站台宽度宜不小于6 m。</w:t>
            </w:r>
          </w:p>
          <w:p w14:paraId="6523E1D0">
            <w:pPr>
              <w:pStyle w:val="18"/>
              <w:adjustRightInd w:val="0"/>
              <w:snapToGrid w:val="0"/>
              <w:ind w:firstLine="0" w:firstLineChars="0"/>
              <w:rPr>
                <w:rFonts w:ascii="Times New Roman"/>
                <w:sz w:val="28"/>
                <w:szCs w:val="28"/>
              </w:rPr>
            </w:pPr>
            <w:r>
              <w:rPr>
                <w:rFonts w:hint="eastAsia" w:ascii="Times New Roman"/>
                <w:sz w:val="28"/>
                <w:szCs w:val="28"/>
              </w:rPr>
              <w:t>6.2.4　站台外宜设置雨棚，采用有组织排水；雨棚的有效宽度（站台外沿至防雨棚外沿）宜为3 m～ 5 m，距离地面净高宜不小于5 m。</w:t>
            </w:r>
          </w:p>
          <w:p w14:paraId="2C9ACDB8">
            <w:pPr>
              <w:pStyle w:val="18"/>
              <w:adjustRightInd w:val="0"/>
              <w:snapToGrid w:val="0"/>
              <w:ind w:firstLine="0" w:firstLineChars="0"/>
              <w:rPr>
                <w:rFonts w:ascii="Times New Roman"/>
                <w:sz w:val="28"/>
                <w:szCs w:val="28"/>
              </w:rPr>
            </w:pPr>
            <w:r>
              <w:rPr>
                <w:rFonts w:hint="eastAsia" w:ascii="Times New Roman"/>
                <w:sz w:val="28"/>
                <w:szCs w:val="28"/>
              </w:rPr>
              <w:t>6.2.5　车辆停靠站台方式可采用多种模式，垂直停靠、30°停靠、45°停靠、平行停靠、镶嵌式停靠等，需考虑为带尾板配送车辆设置站台尾板插槽。</w:t>
            </w:r>
          </w:p>
          <w:p w14:paraId="2D6178D3">
            <w:pPr>
              <w:pStyle w:val="18"/>
              <w:adjustRightInd w:val="0"/>
              <w:snapToGrid w:val="0"/>
              <w:ind w:firstLine="0" w:firstLineChars="0"/>
              <w:rPr>
                <w:rFonts w:ascii="Times New Roman"/>
                <w:sz w:val="28"/>
                <w:szCs w:val="28"/>
              </w:rPr>
            </w:pPr>
            <w:r>
              <w:rPr>
                <w:rFonts w:hint="eastAsia" w:ascii="Times New Roman"/>
                <w:sz w:val="28"/>
                <w:szCs w:val="28"/>
              </w:rPr>
              <w:t>6.2.6　站台区域宜采用大范围射灯照明以满足装卸作业的需求。</w:t>
            </w:r>
          </w:p>
        </w:tc>
        <w:tc>
          <w:tcPr>
            <w:tcW w:w="2268" w:type="dxa"/>
            <w:vAlign w:val="center"/>
          </w:tcPr>
          <w:p w14:paraId="0F64F479">
            <w:pPr>
              <w:pStyle w:val="18"/>
              <w:adjustRightInd w:val="0"/>
              <w:snapToGrid w:val="0"/>
              <w:ind w:firstLine="0" w:firstLineChars="0"/>
              <w:rPr>
                <w:rFonts w:ascii="Times New Roman"/>
                <w:sz w:val="28"/>
                <w:szCs w:val="28"/>
              </w:rPr>
            </w:pPr>
            <w:r>
              <w:rPr>
                <w:rFonts w:hint="eastAsia" w:ascii="Times New Roman"/>
                <w:sz w:val="28"/>
                <w:szCs w:val="28"/>
              </w:rPr>
              <w:t>更改了控温封闭站台的规划设计内容（见6.2，2019年版的6.2）。增加垂直停靠、斜向停靠、平行停靠和镶嵌式停靠等车辆停靠方式，增加带尾板配送车辆的站台尾板插槽内容，并对站台围护结构、照明、装卸门、门封、登车桥、快速门、空气幕和温控设备联动控制等规划设计内容，以减少冷量损失、结露风险和食品暴露时间。</w:t>
            </w:r>
          </w:p>
        </w:tc>
      </w:tr>
      <w:tr w14:paraId="1D5C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499ECB72">
            <w:pPr>
              <w:jc w:val="center"/>
              <w:rPr>
                <w:rFonts w:ascii="Times New Roman" w:hAnsi="Times New Roman"/>
                <w:sz w:val="28"/>
                <w:szCs w:val="28"/>
              </w:rPr>
            </w:pPr>
          </w:p>
        </w:tc>
        <w:tc>
          <w:tcPr>
            <w:tcW w:w="706" w:type="dxa"/>
            <w:vAlign w:val="center"/>
          </w:tcPr>
          <w:p w14:paraId="6BEFC0C2">
            <w:pPr>
              <w:jc w:val="center"/>
              <w:rPr>
                <w:rFonts w:ascii="Times New Roman" w:hAnsi="Times New Roman"/>
                <w:sz w:val="28"/>
                <w:szCs w:val="28"/>
              </w:rPr>
            </w:pPr>
            <w:r>
              <w:rPr>
                <w:rFonts w:hint="eastAsia" w:ascii="Times New Roman" w:hAnsi="Times New Roman"/>
                <w:sz w:val="28"/>
                <w:szCs w:val="28"/>
              </w:rPr>
              <w:t>6.3作业车间</w:t>
            </w:r>
          </w:p>
        </w:tc>
        <w:tc>
          <w:tcPr>
            <w:tcW w:w="3046" w:type="dxa"/>
            <w:vAlign w:val="center"/>
          </w:tcPr>
          <w:p w14:paraId="2A2186DD">
            <w:pPr>
              <w:pStyle w:val="18"/>
              <w:adjustRightInd w:val="0"/>
              <w:snapToGrid w:val="0"/>
              <w:ind w:firstLine="0" w:firstLineChars="0"/>
              <w:rPr>
                <w:rFonts w:ascii="Times New Roman"/>
                <w:sz w:val="28"/>
                <w:szCs w:val="28"/>
              </w:rPr>
            </w:pPr>
            <w:r>
              <w:rPr>
                <w:rFonts w:hint="eastAsia" w:ascii="Times New Roman"/>
                <w:sz w:val="28"/>
                <w:szCs w:val="28"/>
              </w:rPr>
              <w:t>6.3.1　作业车间依据GB 14881—2025第4章规划设计。</w:t>
            </w:r>
          </w:p>
          <w:p w14:paraId="633F89A6">
            <w:pPr>
              <w:pStyle w:val="18"/>
              <w:adjustRightInd w:val="0"/>
              <w:snapToGrid w:val="0"/>
              <w:ind w:firstLine="0" w:firstLineChars="0"/>
              <w:rPr>
                <w:rFonts w:ascii="Times New Roman"/>
                <w:sz w:val="28"/>
                <w:szCs w:val="28"/>
              </w:rPr>
            </w:pPr>
            <w:r>
              <w:rPr>
                <w:rFonts w:hint="eastAsia" w:ascii="Times New Roman"/>
                <w:sz w:val="28"/>
                <w:szCs w:val="28"/>
              </w:rPr>
              <w:t>6.3.2　宜根据食品品类、作业工艺、温湿度要求、卫生要求及作业规模进行布局。涉及流通加工的作业车间，按照食品加工过程的清洁程度合理划分作业区，并采取有效的分离或分隔措施。</w:t>
            </w:r>
          </w:p>
          <w:p w14:paraId="17909C72">
            <w:pPr>
              <w:pStyle w:val="18"/>
              <w:adjustRightInd w:val="0"/>
              <w:snapToGrid w:val="0"/>
              <w:ind w:firstLine="0" w:firstLineChars="0"/>
              <w:rPr>
                <w:rFonts w:ascii="Times New Roman"/>
                <w:sz w:val="28"/>
                <w:szCs w:val="28"/>
              </w:rPr>
            </w:pPr>
            <w:r>
              <w:rPr>
                <w:rFonts w:hint="eastAsia" w:ascii="Times New Roman"/>
                <w:sz w:val="28"/>
                <w:szCs w:val="28"/>
              </w:rPr>
              <w:t>6.3.3　宜就近设置洗手、消毒等人员卫生设施及现场办公室、更衣室、候工室。候工室面积可按最大班次作业人数确定。</w:t>
            </w:r>
          </w:p>
          <w:p w14:paraId="361985FB">
            <w:pPr>
              <w:pStyle w:val="18"/>
              <w:adjustRightInd w:val="0"/>
              <w:snapToGrid w:val="0"/>
              <w:ind w:firstLine="0" w:firstLineChars="0"/>
              <w:rPr>
                <w:rFonts w:ascii="Times New Roman"/>
                <w:sz w:val="28"/>
                <w:szCs w:val="28"/>
              </w:rPr>
            </w:pPr>
            <w:r>
              <w:rPr>
                <w:rFonts w:hint="eastAsia" w:ascii="Times New Roman"/>
                <w:sz w:val="28"/>
                <w:szCs w:val="28"/>
              </w:rPr>
              <w:t>6.3.4　宜根据作业需要配置温湿度调控、通风、照明、给排水、清洁消毒及废弃物暂存等设施设备。通风气流组织不宜由清洁程度较低区域流向清洁程度较高区域。</w:t>
            </w:r>
          </w:p>
        </w:tc>
        <w:tc>
          <w:tcPr>
            <w:tcW w:w="2410" w:type="dxa"/>
            <w:vAlign w:val="center"/>
          </w:tcPr>
          <w:p w14:paraId="0C35ACD4">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restart"/>
            <w:vAlign w:val="center"/>
          </w:tcPr>
          <w:p w14:paraId="0233EECD">
            <w:pPr>
              <w:pStyle w:val="18"/>
              <w:adjustRightInd w:val="0"/>
              <w:snapToGrid w:val="0"/>
              <w:ind w:firstLine="0" w:firstLineChars="0"/>
              <w:rPr>
                <w:rFonts w:ascii="Times New Roman"/>
                <w:sz w:val="28"/>
                <w:szCs w:val="28"/>
              </w:rPr>
            </w:pPr>
            <w:r>
              <w:rPr>
                <w:rFonts w:hint="eastAsia" w:ascii="Times New Roman"/>
                <w:sz w:val="28"/>
                <w:szCs w:val="28"/>
              </w:rPr>
              <w:t>增加了作业车间、检测用房和配套用房的内容（见6.3、6.4、6.5）。增加作业车间的卫生分区、温湿度调控、通风、照明、给排水、清洁消毒和废弃物暂存等内容；增加检测用房的入库验收、抽样、样品暂存、待检隔离、不合格品判定辅助、退货检测和留样等功能；增加办公管理、现场调度、设备维修、制冷机房、器具清洗消毒、废弃物处理和人员生活服务等配套用房的内容。增加了充电及充电设施的规划设计内容。增加充电设施与冷库、物流作业区、可燃物堆放区、废弃物处理区及人员密集场所合理分隔的内容；增加充电区的通风、消防、应急断电、防撞、监控报警、安全标识及车辆、人员分流等内容，以适应电动配送车辆和电动搬运设备的应用。</w:t>
            </w:r>
          </w:p>
        </w:tc>
      </w:tr>
      <w:tr w14:paraId="6EEA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327B32E">
            <w:pPr>
              <w:jc w:val="center"/>
              <w:rPr>
                <w:rFonts w:ascii="Times New Roman" w:hAnsi="Times New Roman"/>
                <w:sz w:val="28"/>
                <w:szCs w:val="28"/>
              </w:rPr>
            </w:pPr>
          </w:p>
        </w:tc>
        <w:tc>
          <w:tcPr>
            <w:tcW w:w="706" w:type="dxa"/>
            <w:vAlign w:val="center"/>
          </w:tcPr>
          <w:p w14:paraId="0511E21A">
            <w:pPr>
              <w:jc w:val="center"/>
              <w:rPr>
                <w:rFonts w:ascii="Times New Roman" w:hAnsi="Times New Roman"/>
                <w:sz w:val="28"/>
                <w:szCs w:val="28"/>
              </w:rPr>
            </w:pPr>
            <w:r>
              <w:rPr>
                <w:rFonts w:hint="eastAsia" w:ascii="Times New Roman" w:hAnsi="Times New Roman"/>
                <w:sz w:val="28"/>
                <w:szCs w:val="28"/>
              </w:rPr>
              <w:t>6.4检测用房</w:t>
            </w:r>
          </w:p>
        </w:tc>
        <w:tc>
          <w:tcPr>
            <w:tcW w:w="3046" w:type="dxa"/>
            <w:vAlign w:val="center"/>
          </w:tcPr>
          <w:p w14:paraId="7338C174">
            <w:pPr>
              <w:pStyle w:val="18"/>
              <w:adjustRightInd w:val="0"/>
              <w:snapToGrid w:val="0"/>
              <w:ind w:firstLine="0" w:firstLineChars="0"/>
              <w:rPr>
                <w:rFonts w:ascii="Times New Roman"/>
                <w:sz w:val="28"/>
                <w:szCs w:val="28"/>
              </w:rPr>
            </w:pPr>
            <w:r>
              <w:rPr>
                <w:rFonts w:hint="eastAsia" w:ascii="Times New Roman"/>
                <w:sz w:val="28"/>
                <w:szCs w:val="28"/>
              </w:rPr>
              <w:t>6.4.1　检测用房宜依据GB/T 32146.1和GB/T 32146.3的要求规划设计。</w:t>
            </w:r>
          </w:p>
          <w:p w14:paraId="636263C5">
            <w:pPr>
              <w:pStyle w:val="18"/>
              <w:adjustRightInd w:val="0"/>
              <w:snapToGrid w:val="0"/>
              <w:ind w:firstLine="0" w:firstLineChars="0"/>
              <w:rPr>
                <w:rFonts w:ascii="Times New Roman"/>
                <w:sz w:val="28"/>
                <w:szCs w:val="28"/>
              </w:rPr>
            </w:pPr>
            <w:r>
              <w:rPr>
                <w:rFonts w:hint="eastAsia" w:ascii="Times New Roman"/>
                <w:sz w:val="28"/>
                <w:szCs w:val="28"/>
              </w:rPr>
              <w:t>6.4.2　宜根据业务规模、食品品类和检测方式，承担入库验收检测、抽样、样品暂存、待检隔离、不合格品判定辅助、退货检测及留样等功能。</w:t>
            </w:r>
          </w:p>
          <w:p w14:paraId="509A5FD9">
            <w:pPr>
              <w:pStyle w:val="18"/>
              <w:adjustRightInd w:val="0"/>
              <w:snapToGrid w:val="0"/>
              <w:ind w:firstLine="0" w:firstLineChars="0"/>
              <w:rPr>
                <w:rFonts w:ascii="Times New Roman"/>
                <w:sz w:val="28"/>
                <w:szCs w:val="28"/>
              </w:rPr>
            </w:pPr>
            <w:r>
              <w:rPr>
                <w:rFonts w:hint="eastAsia" w:ascii="Times New Roman"/>
                <w:sz w:val="28"/>
                <w:szCs w:val="28"/>
              </w:rPr>
              <w:t>6.4.3　涉及挥发性、腐蚀性或有害试剂使用的检测区域，宜根据风险等级设置局部排风、通风及相应的安全防护设施；检测用排水不宜对食品作业区域造成污染。</w:t>
            </w:r>
          </w:p>
          <w:p w14:paraId="33A059ED">
            <w:pPr>
              <w:pStyle w:val="18"/>
              <w:adjustRightInd w:val="0"/>
              <w:snapToGrid w:val="0"/>
              <w:ind w:firstLine="0" w:firstLineChars="0"/>
              <w:rPr>
                <w:rFonts w:ascii="Times New Roman"/>
                <w:sz w:val="28"/>
                <w:szCs w:val="28"/>
              </w:rPr>
            </w:pPr>
            <w:r>
              <w:rPr>
                <w:rFonts w:hint="eastAsia" w:ascii="Times New Roman"/>
                <w:sz w:val="28"/>
                <w:szCs w:val="28"/>
              </w:rPr>
              <w:t>6.4.4　宜设置样品、检测状态和检测记录的标识与信息记录设施。</w:t>
            </w:r>
          </w:p>
        </w:tc>
        <w:tc>
          <w:tcPr>
            <w:tcW w:w="2410" w:type="dxa"/>
            <w:vAlign w:val="center"/>
          </w:tcPr>
          <w:p w14:paraId="29A69C9C">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continue"/>
            <w:vAlign w:val="center"/>
          </w:tcPr>
          <w:p w14:paraId="77D2D965">
            <w:pPr>
              <w:pStyle w:val="18"/>
              <w:adjustRightInd w:val="0"/>
              <w:snapToGrid w:val="0"/>
              <w:ind w:firstLine="0" w:firstLineChars="0"/>
              <w:rPr>
                <w:rFonts w:ascii="Times New Roman"/>
                <w:sz w:val="28"/>
                <w:szCs w:val="28"/>
              </w:rPr>
            </w:pPr>
          </w:p>
        </w:tc>
      </w:tr>
      <w:tr w14:paraId="2DA9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71D8467A">
            <w:pPr>
              <w:jc w:val="center"/>
              <w:rPr>
                <w:rFonts w:ascii="Times New Roman" w:hAnsi="Times New Roman"/>
                <w:sz w:val="28"/>
                <w:szCs w:val="28"/>
              </w:rPr>
            </w:pPr>
          </w:p>
        </w:tc>
        <w:tc>
          <w:tcPr>
            <w:tcW w:w="706" w:type="dxa"/>
            <w:vAlign w:val="center"/>
          </w:tcPr>
          <w:p w14:paraId="1114B939">
            <w:pPr>
              <w:jc w:val="center"/>
              <w:rPr>
                <w:rFonts w:ascii="Times New Roman" w:hAnsi="Times New Roman"/>
                <w:sz w:val="28"/>
                <w:szCs w:val="28"/>
              </w:rPr>
            </w:pPr>
            <w:r>
              <w:rPr>
                <w:rFonts w:hint="eastAsia" w:ascii="Times New Roman" w:hAnsi="Times New Roman"/>
                <w:sz w:val="28"/>
                <w:szCs w:val="28"/>
              </w:rPr>
              <w:t>6.5配套用房</w:t>
            </w:r>
          </w:p>
        </w:tc>
        <w:tc>
          <w:tcPr>
            <w:tcW w:w="3046" w:type="dxa"/>
            <w:vAlign w:val="center"/>
          </w:tcPr>
          <w:p w14:paraId="5BAB968A">
            <w:pPr>
              <w:pStyle w:val="18"/>
              <w:adjustRightInd w:val="0"/>
              <w:snapToGrid w:val="0"/>
              <w:ind w:firstLine="0" w:firstLineChars="0"/>
              <w:rPr>
                <w:rFonts w:ascii="Times New Roman"/>
                <w:sz w:val="28"/>
                <w:szCs w:val="28"/>
              </w:rPr>
            </w:pPr>
            <w:r>
              <w:rPr>
                <w:rFonts w:hint="eastAsia" w:ascii="Times New Roman"/>
                <w:sz w:val="28"/>
                <w:szCs w:val="28"/>
              </w:rPr>
              <w:t>6.5.1　宜根据业务需求配置配套用房，包括但不限于办公管理、现场调度、设备维修、制冷机房、机电用房、周转器具清洗消毒、废弃物收集处理、人员生活服务。</w:t>
            </w:r>
          </w:p>
          <w:p w14:paraId="60BB0E23">
            <w:pPr>
              <w:pStyle w:val="18"/>
              <w:adjustRightInd w:val="0"/>
              <w:snapToGrid w:val="0"/>
              <w:ind w:firstLine="0" w:firstLineChars="0"/>
              <w:rPr>
                <w:rFonts w:ascii="Times New Roman"/>
                <w:sz w:val="28"/>
                <w:szCs w:val="28"/>
              </w:rPr>
            </w:pPr>
            <w:r>
              <w:rPr>
                <w:rFonts w:hint="eastAsia" w:ascii="Times New Roman"/>
                <w:sz w:val="28"/>
                <w:szCs w:val="28"/>
              </w:rPr>
              <w:t>6.5.2　开展对外业务的用房宜设在首层。</w:t>
            </w:r>
          </w:p>
          <w:p w14:paraId="57BC8E05">
            <w:pPr>
              <w:pStyle w:val="18"/>
              <w:adjustRightInd w:val="0"/>
              <w:snapToGrid w:val="0"/>
              <w:ind w:firstLine="0" w:firstLineChars="0"/>
              <w:rPr>
                <w:rFonts w:ascii="Times New Roman"/>
                <w:sz w:val="28"/>
                <w:szCs w:val="28"/>
              </w:rPr>
            </w:pPr>
            <w:r>
              <w:rPr>
                <w:rFonts w:hint="eastAsia" w:ascii="Times New Roman"/>
                <w:sz w:val="28"/>
                <w:szCs w:val="28"/>
              </w:rPr>
              <w:t>6.5.3　充电设施宜设置在室外停车区域或独立的专用区域，并与冷库、物流作业区、可燃物堆放区、废弃物处理区及人员密集场所合理分隔；充电设备、车位、道路及建筑物的布局宜依据GB/T 50966—2024第4章、第10章和第11章规划设计。</w:t>
            </w:r>
          </w:p>
        </w:tc>
        <w:tc>
          <w:tcPr>
            <w:tcW w:w="2410" w:type="dxa"/>
            <w:vAlign w:val="center"/>
          </w:tcPr>
          <w:p w14:paraId="77A12D68">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continue"/>
            <w:vAlign w:val="center"/>
          </w:tcPr>
          <w:p w14:paraId="7D57D594">
            <w:pPr>
              <w:pStyle w:val="18"/>
              <w:adjustRightInd w:val="0"/>
              <w:snapToGrid w:val="0"/>
              <w:ind w:firstLine="0" w:firstLineChars="0"/>
              <w:rPr>
                <w:rFonts w:ascii="Times New Roman"/>
                <w:sz w:val="28"/>
                <w:szCs w:val="28"/>
              </w:rPr>
            </w:pPr>
          </w:p>
        </w:tc>
      </w:tr>
      <w:tr w14:paraId="5B4A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1052BA9B">
            <w:pPr>
              <w:jc w:val="center"/>
              <w:rPr>
                <w:rFonts w:ascii="Times New Roman" w:hAnsi="Times New Roman"/>
                <w:sz w:val="28"/>
                <w:szCs w:val="28"/>
              </w:rPr>
            </w:pPr>
            <w:r>
              <w:rPr>
                <w:rFonts w:hint="eastAsia" w:ascii="Times New Roman" w:hAnsi="Times New Roman"/>
                <w:sz w:val="28"/>
                <w:szCs w:val="28"/>
              </w:rPr>
              <w:t>7核心功能区</w:t>
            </w:r>
          </w:p>
        </w:tc>
        <w:tc>
          <w:tcPr>
            <w:tcW w:w="706" w:type="dxa"/>
            <w:vAlign w:val="center"/>
          </w:tcPr>
          <w:p w14:paraId="50CD8687">
            <w:pPr>
              <w:jc w:val="center"/>
              <w:rPr>
                <w:rFonts w:ascii="Times New Roman" w:hAnsi="Times New Roman"/>
                <w:sz w:val="28"/>
                <w:szCs w:val="28"/>
              </w:rPr>
            </w:pPr>
            <w:r>
              <w:rPr>
                <w:rFonts w:hint="eastAsia" w:ascii="Times New Roman" w:hAnsi="Times New Roman"/>
                <w:sz w:val="28"/>
                <w:szCs w:val="28"/>
              </w:rPr>
              <w:t>7.1收发货区</w:t>
            </w:r>
          </w:p>
        </w:tc>
        <w:tc>
          <w:tcPr>
            <w:tcW w:w="3046" w:type="dxa"/>
            <w:vAlign w:val="center"/>
          </w:tcPr>
          <w:p w14:paraId="3D851AF6">
            <w:pPr>
              <w:pStyle w:val="18"/>
              <w:adjustRightInd w:val="0"/>
              <w:snapToGrid w:val="0"/>
              <w:ind w:firstLine="0" w:firstLineChars="0"/>
              <w:rPr>
                <w:rFonts w:ascii="Times New Roman"/>
                <w:sz w:val="28"/>
                <w:szCs w:val="28"/>
              </w:rPr>
            </w:pPr>
            <w:r>
              <w:rPr>
                <w:rFonts w:hint="eastAsia" w:ascii="Times New Roman"/>
                <w:sz w:val="28"/>
                <w:szCs w:val="28"/>
              </w:rPr>
              <w:t>7.1.1　收发货区宜设置在控温封闭站台区域，根据进出货量、进出频次等确定收发货区面积大小，宜根据配送食品的品质要求设定温度。</w:t>
            </w:r>
          </w:p>
          <w:p w14:paraId="073D80DB">
            <w:pPr>
              <w:pStyle w:val="18"/>
              <w:adjustRightInd w:val="0"/>
              <w:snapToGrid w:val="0"/>
              <w:ind w:firstLine="0" w:firstLineChars="0"/>
              <w:rPr>
                <w:rFonts w:ascii="Times New Roman"/>
                <w:sz w:val="28"/>
                <w:szCs w:val="28"/>
              </w:rPr>
            </w:pPr>
            <w:r>
              <w:rPr>
                <w:rFonts w:hint="eastAsia" w:ascii="Times New Roman"/>
                <w:sz w:val="28"/>
                <w:szCs w:val="28"/>
              </w:rPr>
              <w:t>7.1.2　宜配备采集货物及货位条码标签信息的设施设备。</w:t>
            </w:r>
          </w:p>
        </w:tc>
        <w:tc>
          <w:tcPr>
            <w:tcW w:w="2410" w:type="dxa"/>
            <w:vAlign w:val="center"/>
          </w:tcPr>
          <w:p w14:paraId="5D84F4D9">
            <w:pPr>
              <w:pStyle w:val="18"/>
              <w:adjustRightInd w:val="0"/>
              <w:snapToGrid w:val="0"/>
              <w:ind w:firstLine="0" w:firstLineChars="0"/>
              <w:rPr>
                <w:rFonts w:ascii="Times New Roman"/>
                <w:sz w:val="28"/>
                <w:szCs w:val="28"/>
              </w:rPr>
            </w:pPr>
            <w:r>
              <w:rPr>
                <w:rFonts w:hint="eastAsia" w:ascii="Times New Roman"/>
                <w:sz w:val="28"/>
                <w:szCs w:val="28"/>
              </w:rPr>
              <w:t>收发货区宜设置在封闭低温站台区域，需根据进出货量、进出频次等确定收发货区面积大小，需考虑满足配送食品的品质进行设定温度。</w:t>
            </w:r>
          </w:p>
        </w:tc>
        <w:tc>
          <w:tcPr>
            <w:tcW w:w="2268" w:type="dxa"/>
            <w:vMerge w:val="restart"/>
            <w:vAlign w:val="center"/>
          </w:tcPr>
          <w:p w14:paraId="7762030F">
            <w:pPr>
              <w:pStyle w:val="18"/>
              <w:adjustRightInd w:val="0"/>
              <w:snapToGrid w:val="0"/>
              <w:ind w:firstLine="0" w:firstLineChars="0"/>
              <w:rPr>
                <w:rFonts w:ascii="Times New Roman"/>
                <w:sz w:val="28"/>
                <w:szCs w:val="28"/>
              </w:rPr>
            </w:pPr>
            <w:r>
              <w:rPr>
                <w:rFonts w:hint="eastAsia" w:ascii="Times New Roman"/>
                <w:sz w:val="28"/>
                <w:szCs w:val="28"/>
              </w:rPr>
              <w:t>更改了核心功能区的设置（见第7章，2019年版的第7章）。将核心功能区的内容扩展为收发货区、预冷区、存储区、流通加工区、分拣区、暂存区、装卸作业区、检测区、充电区和附属配套区，并根据食品类别、业务规模、作业模式和场地条件，对有关功能区进行合并设置或独立设置。</w:t>
            </w:r>
          </w:p>
          <w:p w14:paraId="50B217E0">
            <w:pPr>
              <w:pStyle w:val="18"/>
              <w:adjustRightInd w:val="0"/>
              <w:snapToGrid w:val="0"/>
              <w:ind w:firstLine="0" w:firstLineChars="0"/>
              <w:rPr>
                <w:rFonts w:ascii="Times New Roman"/>
                <w:sz w:val="28"/>
                <w:szCs w:val="28"/>
              </w:rPr>
            </w:pPr>
            <w:r>
              <w:rPr>
                <w:rFonts w:hint="eastAsia" w:ascii="Times New Roman"/>
                <w:sz w:val="28"/>
                <w:szCs w:val="28"/>
              </w:rPr>
              <w:t>增加了预冷区及预冷设备的内容（见7.2）。增加预冷区的规划设计内容，以及冷风预冷、差压预冷、真空预冷、水预冷、冰预冷等预冷方式，建议根据食品特性和业务需求选择相适应的预冷设备。</w:t>
            </w:r>
          </w:p>
        </w:tc>
      </w:tr>
      <w:tr w14:paraId="0FE0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1F7BDB27">
            <w:pPr>
              <w:jc w:val="center"/>
              <w:rPr>
                <w:rFonts w:ascii="Times New Roman" w:hAnsi="Times New Roman"/>
                <w:sz w:val="28"/>
                <w:szCs w:val="28"/>
              </w:rPr>
            </w:pPr>
          </w:p>
        </w:tc>
        <w:tc>
          <w:tcPr>
            <w:tcW w:w="706" w:type="dxa"/>
            <w:vAlign w:val="center"/>
          </w:tcPr>
          <w:p w14:paraId="6D933444">
            <w:pPr>
              <w:jc w:val="center"/>
              <w:rPr>
                <w:rFonts w:ascii="Times New Roman" w:hAnsi="Times New Roman"/>
                <w:sz w:val="28"/>
                <w:szCs w:val="28"/>
              </w:rPr>
            </w:pPr>
            <w:r>
              <w:rPr>
                <w:rFonts w:hint="eastAsia" w:ascii="Times New Roman" w:hAnsi="Times New Roman"/>
                <w:sz w:val="28"/>
                <w:szCs w:val="28"/>
              </w:rPr>
              <w:t>7.2预冷区</w:t>
            </w:r>
          </w:p>
        </w:tc>
        <w:tc>
          <w:tcPr>
            <w:tcW w:w="3046" w:type="dxa"/>
            <w:vAlign w:val="center"/>
          </w:tcPr>
          <w:p w14:paraId="338A4E64">
            <w:pPr>
              <w:pStyle w:val="18"/>
              <w:adjustRightInd w:val="0"/>
              <w:snapToGrid w:val="0"/>
              <w:ind w:firstLine="560"/>
              <w:rPr>
                <w:rFonts w:ascii="Times New Roman"/>
                <w:sz w:val="28"/>
                <w:szCs w:val="28"/>
              </w:rPr>
            </w:pPr>
            <w:r>
              <w:rPr>
                <w:rFonts w:hint="eastAsia" w:ascii="Times New Roman"/>
                <w:sz w:val="28"/>
                <w:szCs w:val="28"/>
              </w:rPr>
              <w:t>7.2.1　宜根据不同的食品业态设置预冷区。</w:t>
            </w:r>
          </w:p>
          <w:p w14:paraId="652CC008">
            <w:pPr>
              <w:pStyle w:val="18"/>
              <w:adjustRightInd w:val="0"/>
              <w:snapToGrid w:val="0"/>
              <w:ind w:firstLine="0" w:firstLineChars="0"/>
              <w:rPr>
                <w:rFonts w:ascii="Times New Roman"/>
                <w:sz w:val="28"/>
                <w:szCs w:val="28"/>
              </w:rPr>
            </w:pPr>
            <w:r>
              <w:rPr>
                <w:rFonts w:hint="eastAsia" w:ascii="Times New Roman"/>
                <w:sz w:val="28"/>
                <w:szCs w:val="28"/>
              </w:rPr>
              <w:t>7.2.2　预冷方式宜采用冷风预冷、差压预冷、真空预冷、水预冷、冰预冷或其他与食品特性相适应的方式。</w:t>
            </w:r>
          </w:p>
        </w:tc>
        <w:tc>
          <w:tcPr>
            <w:tcW w:w="2410" w:type="dxa"/>
            <w:vAlign w:val="center"/>
          </w:tcPr>
          <w:p w14:paraId="00CFCE2C">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continue"/>
            <w:vAlign w:val="center"/>
          </w:tcPr>
          <w:p w14:paraId="3F252A9A">
            <w:pPr>
              <w:pStyle w:val="18"/>
              <w:adjustRightInd w:val="0"/>
              <w:snapToGrid w:val="0"/>
              <w:ind w:firstLine="0" w:firstLineChars="0"/>
              <w:rPr>
                <w:rFonts w:ascii="Times New Roman"/>
                <w:sz w:val="28"/>
                <w:szCs w:val="28"/>
              </w:rPr>
            </w:pPr>
          </w:p>
        </w:tc>
      </w:tr>
      <w:tr w14:paraId="6D8A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E15BB89">
            <w:pPr>
              <w:jc w:val="center"/>
              <w:rPr>
                <w:rFonts w:ascii="Times New Roman" w:hAnsi="Times New Roman"/>
                <w:sz w:val="28"/>
                <w:szCs w:val="28"/>
              </w:rPr>
            </w:pPr>
          </w:p>
        </w:tc>
        <w:tc>
          <w:tcPr>
            <w:tcW w:w="706" w:type="dxa"/>
            <w:vAlign w:val="center"/>
          </w:tcPr>
          <w:p w14:paraId="52C857E0">
            <w:pPr>
              <w:jc w:val="center"/>
              <w:rPr>
                <w:rFonts w:ascii="Times New Roman" w:hAnsi="Times New Roman"/>
                <w:sz w:val="28"/>
                <w:szCs w:val="28"/>
              </w:rPr>
            </w:pPr>
            <w:r>
              <w:rPr>
                <w:rFonts w:hint="eastAsia" w:ascii="Times New Roman" w:hAnsi="Times New Roman"/>
                <w:sz w:val="28"/>
                <w:szCs w:val="28"/>
              </w:rPr>
              <w:t>7.3存储区</w:t>
            </w:r>
          </w:p>
        </w:tc>
        <w:tc>
          <w:tcPr>
            <w:tcW w:w="3046" w:type="dxa"/>
            <w:vAlign w:val="center"/>
          </w:tcPr>
          <w:p w14:paraId="66D49BC5">
            <w:pPr>
              <w:pStyle w:val="18"/>
              <w:adjustRightInd w:val="0"/>
              <w:snapToGrid w:val="0"/>
              <w:ind w:firstLine="0" w:firstLineChars="0"/>
              <w:rPr>
                <w:rFonts w:ascii="Times New Roman"/>
                <w:sz w:val="28"/>
                <w:szCs w:val="28"/>
              </w:rPr>
            </w:pPr>
            <w:r>
              <w:rPr>
                <w:rFonts w:hint="eastAsia" w:ascii="Times New Roman"/>
                <w:sz w:val="28"/>
                <w:szCs w:val="28"/>
              </w:rPr>
              <w:t>7.3.1　依据食品的不同存储需求规划不同的存储区。存储区规模宜根据存储量、品类、周转天数等因素确定。</w:t>
            </w:r>
          </w:p>
          <w:p w14:paraId="336BCED6">
            <w:pPr>
              <w:pStyle w:val="18"/>
              <w:adjustRightInd w:val="0"/>
              <w:snapToGrid w:val="0"/>
              <w:ind w:firstLine="0" w:firstLineChars="0"/>
              <w:rPr>
                <w:rFonts w:ascii="Times New Roman"/>
                <w:sz w:val="28"/>
                <w:szCs w:val="28"/>
              </w:rPr>
            </w:pPr>
            <w:r>
              <w:rPr>
                <w:rFonts w:hint="eastAsia" w:ascii="Times New Roman"/>
                <w:sz w:val="28"/>
                <w:szCs w:val="28"/>
              </w:rPr>
              <w:t>7.3.2　依据GB 50072配置相应温区的制冷设施设备。</w:t>
            </w:r>
          </w:p>
        </w:tc>
        <w:tc>
          <w:tcPr>
            <w:tcW w:w="2410" w:type="dxa"/>
            <w:vAlign w:val="center"/>
          </w:tcPr>
          <w:p w14:paraId="6813BA11">
            <w:pPr>
              <w:pStyle w:val="18"/>
              <w:adjustRightInd w:val="0"/>
              <w:snapToGrid w:val="0"/>
              <w:ind w:firstLine="0" w:firstLineChars="0"/>
              <w:rPr>
                <w:rFonts w:ascii="Times New Roman"/>
                <w:sz w:val="28"/>
                <w:szCs w:val="28"/>
              </w:rPr>
            </w:pPr>
            <w:r>
              <w:rPr>
                <w:rFonts w:hint="eastAsia" w:ascii="Times New Roman"/>
                <w:sz w:val="28"/>
                <w:szCs w:val="28"/>
              </w:rPr>
              <w:t>需依据食品的不同存储需求规划不同的存储区。存储区规模需根据存储量、品类、周转天数等因素确定。</w:t>
            </w:r>
          </w:p>
          <w:p w14:paraId="57D61802">
            <w:pPr>
              <w:pStyle w:val="18"/>
              <w:adjustRightInd w:val="0"/>
              <w:snapToGrid w:val="0"/>
              <w:ind w:firstLine="0" w:firstLineChars="0"/>
              <w:rPr>
                <w:rFonts w:ascii="Times New Roman"/>
                <w:sz w:val="28"/>
                <w:szCs w:val="28"/>
              </w:rPr>
            </w:pPr>
            <w:r>
              <w:rPr>
                <w:rFonts w:hint="eastAsia" w:ascii="Times New Roman"/>
                <w:sz w:val="28"/>
                <w:szCs w:val="28"/>
              </w:rPr>
              <w:t>根据食品的形态及特性，低温配送中心存储区一般划分为3个～5个温区，如：</w:t>
            </w:r>
          </w:p>
          <w:p w14:paraId="4B63EBE7">
            <w:pPr>
              <w:pStyle w:val="18"/>
              <w:adjustRightInd w:val="0"/>
              <w:snapToGrid w:val="0"/>
              <w:ind w:firstLine="0" w:firstLineChars="0"/>
              <w:rPr>
                <w:rFonts w:ascii="Times New Roman"/>
                <w:sz w:val="28"/>
                <w:szCs w:val="28"/>
              </w:rPr>
            </w:pPr>
            <w:r>
              <w:rPr>
                <w:rFonts w:hint="eastAsia" w:ascii="Times New Roman"/>
                <w:sz w:val="28"/>
                <w:szCs w:val="28"/>
              </w:rPr>
              <w:t>a)</w:t>
            </w:r>
            <w:r>
              <w:rPr>
                <w:rFonts w:hint="eastAsia" w:ascii="Times New Roman"/>
                <w:sz w:val="28"/>
                <w:szCs w:val="28"/>
              </w:rPr>
              <w:tab/>
            </w:r>
            <w:r>
              <w:rPr>
                <w:rFonts w:hint="eastAsia" w:ascii="Times New Roman"/>
                <w:sz w:val="28"/>
                <w:szCs w:val="28"/>
              </w:rPr>
              <w:t>超低温区（适用温度范围-50 ℃以下）；</w:t>
            </w:r>
          </w:p>
          <w:p w14:paraId="535DDB54">
            <w:pPr>
              <w:pStyle w:val="18"/>
              <w:adjustRightInd w:val="0"/>
              <w:snapToGrid w:val="0"/>
              <w:ind w:firstLine="0" w:firstLineChars="0"/>
              <w:rPr>
                <w:rFonts w:ascii="Times New Roman"/>
                <w:sz w:val="28"/>
                <w:szCs w:val="28"/>
              </w:rPr>
            </w:pPr>
            <w:r>
              <w:rPr>
                <w:rFonts w:hint="eastAsia" w:ascii="Times New Roman"/>
                <w:sz w:val="28"/>
                <w:szCs w:val="28"/>
              </w:rPr>
              <w:t>b)</w:t>
            </w:r>
            <w:r>
              <w:rPr>
                <w:rFonts w:hint="eastAsia" w:ascii="Times New Roman"/>
                <w:sz w:val="28"/>
                <w:szCs w:val="28"/>
              </w:rPr>
              <w:tab/>
            </w:r>
            <w:r>
              <w:rPr>
                <w:rFonts w:hint="eastAsia" w:ascii="Times New Roman"/>
                <w:sz w:val="28"/>
                <w:szCs w:val="28"/>
              </w:rPr>
              <w:t>冷冻区（适用温度范围-18 ℃以下）；</w:t>
            </w:r>
          </w:p>
          <w:p w14:paraId="52B3FA42">
            <w:pPr>
              <w:pStyle w:val="18"/>
              <w:adjustRightInd w:val="0"/>
              <w:snapToGrid w:val="0"/>
              <w:ind w:firstLine="0" w:firstLineChars="0"/>
              <w:rPr>
                <w:rFonts w:ascii="Times New Roman"/>
                <w:sz w:val="28"/>
                <w:szCs w:val="28"/>
              </w:rPr>
            </w:pPr>
            <w:r>
              <w:rPr>
                <w:rFonts w:hint="eastAsia" w:ascii="Times New Roman"/>
                <w:sz w:val="28"/>
                <w:szCs w:val="28"/>
              </w:rPr>
              <w:t>c)</w:t>
            </w:r>
            <w:r>
              <w:rPr>
                <w:rFonts w:hint="eastAsia" w:ascii="Times New Roman"/>
                <w:sz w:val="28"/>
                <w:szCs w:val="28"/>
              </w:rPr>
              <w:tab/>
            </w:r>
            <w:r>
              <w:rPr>
                <w:rFonts w:hint="eastAsia" w:ascii="Times New Roman"/>
                <w:sz w:val="28"/>
                <w:szCs w:val="28"/>
              </w:rPr>
              <w:t>冰温区（0 ℃以下、食品冻结点以上）；</w:t>
            </w:r>
          </w:p>
          <w:p w14:paraId="5D94A086">
            <w:pPr>
              <w:pStyle w:val="18"/>
              <w:adjustRightInd w:val="0"/>
              <w:snapToGrid w:val="0"/>
              <w:ind w:firstLine="0" w:firstLineChars="0"/>
              <w:rPr>
                <w:rFonts w:ascii="Times New Roman"/>
                <w:sz w:val="28"/>
                <w:szCs w:val="28"/>
              </w:rPr>
            </w:pPr>
            <w:r>
              <w:rPr>
                <w:rFonts w:hint="eastAsia" w:ascii="Times New Roman"/>
                <w:sz w:val="28"/>
                <w:szCs w:val="28"/>
              </w:rPr>
              <w:t>d)</w:t>
            </w:r>
            <w:r>
              <w:rPr>
                <w:rFonts w:hint="eastAsia" w:ascii="Times New Roman"/>
                <w:sz w:val="28"/>
                <w:szCs w:val="28"/>
              </w:rPr>
              <w:tab/>
            </w:r>
            <w:r>
              <w:rPr>
                <w:rFonts w:hint="eastAsia" w:ascii="Times New Roman"/>
                <w:sz w:val="28"/>
                <w:szCs w:val="28"/>
              </w:rPr>
              <w:t>冷藏区（适用温度范围0 ℃～10 ℃)；</w:t>
            </w:r>
          </w:p>
          <w:p w14:paraId="49EAC57A">
            <w:pPr>
              <w:pStyle w:val="18"/>
              <w:adjustRightInd w:val="0"/>
              <w:snapToGrid w:val="0"/>
              <w:ind w:firstLine="0" w:firstLineChars="0"/>
              <w:rPr>
                <w:rFonts w:ascii="Times New Roman"/>
                <w:sz w:val="28"/>
                <w:szCs w:val="28"/>
              </w:rPr>
            </w:pPr>
            <w:r>
              <w:rPr>
                <w:rFonts w:hint="eastAsia" w:ascii="Times New Roman"/>
                <w:sz w:val="28"/>
                <w:szCs w:val="28"/>
              </w:rPr>
              <w:t>e)</w:t>
            </w:r>
            <w:r>
              <w:rPr>
                <w:rFonts w:hint="eastAsia" w:ascii="Times New Roman"/>
                <w:sz w:val="28"/>
                <w:szCs w:val="28"/>
              </w:rPr>
              <w:tab/>
            </w:r>
            <w:r>
              <w:rPr>
                <w:rFonts w:hint="eastAsia" w:ascii="Times New Roman"/>
                <w:sz w:val="28"/>
                <w:szCs w:val="28"/>
              </w:rPr>
              <w:t>其他控温区（适用温度范围10 ℃～25 ℃)。</w:t>
            </w:r>
          </w:p>
        </w:tc>
        <w:tc>
          <w:tcPr>
            <w:tcW w:w="2268" w:type="dxa"/>
            <w:vMerge w:val="restart"/>
            <w:vAlign w:val="center"/>
          </w:tcPr>
          <w:p w14:paraId="4EA6BC13">
            <w:pPr>
              <w:pStyle w:val="18"/>
              <w:adjustRightInd w:val="0"/>
              <w:snapToGrid w:val="0"/>
              <w:ind w:firstLine="0" w:firstLineChars="0"/>
              <w:rPr>
                <w:rFonts w:ascii="Times New Roman"/>
                <w:sz w:val="28"/>
                <w:szCs w:val="28"/>
              </w:rPr>
            </w:pPr>
            <w:r>
              <w:rPr>
                <w:rFonts w:hint="eastAsia" w:ascii="Times New Roman"/>
                <w:sz w:val="28"/>
                <w:szCs w:val="28"/>
              </w:rPr>
              <w:t>更改了存储区、流通加工区、分拣区、暂存区、装卸作业区、检测区的内容（见7.3～7.8，2019年版的7.2～7.7）删除按照固定温区名称对存储区进行统一划分的表述，改为根据食品品类、存储需求、存储量、周转天数和业务特点设置相应存储区域，并根据食品要求配置相应温区的制冷设施设备。增加不同温区食品、生食与熟食、直接入口食品与非直接入口食品、正常品与异常品的分离或分隔内容；增加货位、周转容器和待发食品的标识、信息采集和作业记录；增加对温度异常、包装破损、退货、待检和不合格食品设置专用暂存区域或采取隔离措施的内容。增加封闭站台、门封、登车桥、快速门、防撞、密封和安全防护等设施，以及照明、标志标线、人车分流、消防通道和应急疏散通道等规划设计内容，以提高装卸作业效率和安全保障能力。</w:t>
            </w:r>
          </w:p>
        </w:tc>
      </w:tr>
      <w:tr w14:paraId="5634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8D05B3B">
            <w:pPr>
              <w:jc w:val="center"/>
              <w:rPr>
                <w:rFonts w:ascii="Times New Roman" w:hAnsi="Times New Roman"/>
                <w:sz w:val="28"/>
                <w:szCs w:val="28"/>
              </w:rPr>
            </w:pPr>
          </w:p>
        </w:tc>
        <w:tc>
          <w:tcPr>
            <w:tcW w:w="706" w:type="dxa"/>
            <w:vAlign w:val="center"/>
          </w:tcPr>
          <w:p w14:paraId="1C48CC0A">
            <w:pPr>
              <w:jc w:val="center"/>
              <w:rPr>
                <w:rFonts w:ascii="Times New Roman" w:hAnsi="Times New Roman"/>
                <w:sz w:val="28"/>
                <w:szCs w:val="28"/>
              </w:rPr>
            </w:pPr>
            <w:r>
              <w:rPr>
                <w:rFonts w:hint="eastAsia" w:ascii="Times New Roman" w:hAnsi="Times New Roman"/>
                <w:sz w:val="28"/>
                <w:szCs w:val="28"/>
              </w:rPr>
              <w:t>7.4流通加工区</w:t>
            </w:r>
          </w:p>
        </w:tc>
        <w:tc>
          <w:tcPr>
            <w:tcW w:w="3046" w:type="dxa"/>
            <w:vAlign w:val="center"/>
          </w:tcPr>
          <w:p w14:paraId="0EA5A8D2">
            <w:pPr>
              <w:pStyle w:val="18"/>
              <w:adjustRightInd w:val="0"/>
              <w:snapToGrid w:val="0"/>
              <w:ind w:firstLine="0" w:firstLineChars="0"/>
              <w:rPr>
                <w:rFonts w:ascii="Times New Roman"/>
                <w:sz w:val="28"/>
                <w:szCs w:val="28"/>
              </w:rPr>
            </w:pPr>
            <w:r>
              <w:rPr>
                <w:rFonts w:hint="eastAsia" w:ascii="Times New Roman"/>
                <w:sz w:val="28"/>
                <w:szCs w:val="28"/>
              </w:rPr>
              <w:t>7.4.1　流通加工区宜设置在独立封闭区域。</w:t>
            </w:r>
          </w:p>
          <w:p w14:paraId="044A31D2">
            <w:pPr>
              <w:pStyle w:val="18"/>
              <w:adjustRightInd w:val="0"/>
              <w:snapToGrid w:val="0"/>
              <w:ind w:firstLine="0" w:firstLineChars="0"/>
              <w:rPr>
                <w:rFonts w:ascii="Times New Roman"/>
                <w:sz w:val="28"/>
                <w:szCs w:val="28"/>
              </w:rPr>
            </w:pPr>
            <w:r>
              <w:rPr>
                <w:rFonts w:hint="eastAsia" w:ascii="Times New Roman"/>
                <w:sz w:val="28"/>
                <w:szCs w:val="28"/>
              </w:rPr>
              <w:t>7.4.2　流通加工区的温湿度宜满足食品加工所规定的温湿度。</w:t>
            </w:r>
          </w:p>
          <w:p w14:paraId="345022AB">
            <w:pPr>
              <w:pStyle w:val="18"/>
              <w:adjustRightInd w:val="0"/>
              <w:snapToGrid w:val="0"/>
              <w:ind w:firstLine="0" w:firstLineChars="0"/>
              <w:rPr>
                <w:rFonts w:ascii="Times New Roman"/>
                <w:sz w:val="28"/>
                <w:szCs w:val="28"/>
              </w:rPr>
            </w:pPr>
            <w:r>
              <w:rPr>
                <w:rFonts w:hint="eastAsia" w:ascii="Times New Roman"/>
                <w:sz w:val="28"/>
                <w:szCs w:val="28"/>
              </w:rPr>
              <w:t>7.4.3　根据食品类别、状态的卫生等级需求，在规划设计时宜确定洁净等级和洁净区域。</w:t>
            </w:r>
          </w:p>
        </w:tc>
        <w:tc>
          <w:tcPr>
            <w:tcW w:w="2410" w:type="dxa"/>
            <w:vAlign w:val="center"/>
          </w:tcPr>
          <w:p w14:paraId="014EDCCE">
            <w:pPr>
              <w:pStyle w:val="18"/>
              <w:adjustRightInd w:val="0"/>
              <w:snapToGrid w:val="0"/>
              <w:ind w:firstLine="0" w:firstLineChars="0"/>
              <w:rPr>
                <w:rFonts w:ascii="Times New Roman"/>
                <w:sz w:val="28"/>
                <w:szCs w:val="28"/>
              </w:rPr>
            </w:pPr>
            <w:r>
              <w:rPr>
                <w:rFonts w:hint="eastAsia" w:ascii="Times New Roman"/>
                <w:sz w:val="28"/>
                <w:szCs w:val="28"/>
              </w:rPr>
              <w:t>流通加工区需考虑设置在独立密闭区域，需考虑配置相应的给排水、送风、排风，以及满足卫生的设施等，流通加工区的温湿度需考虑能够满足食品加工所规定的温湿度。根据食品不同类别、不同状态的卫生等级需求，在规划设计时需确定洁净等级和洁净区域，一般划可分为污染区、准洁净区、洁净区。</w:t>
            </w:r>
          </w:p>
        </w:tc>
        <w:tc>
          <w:tcPr>
            <w:tcW w:w="2268" w:type="dxa"/>
            <w:vMerge w:val="continue"/>
            <w:vAlign w:val="center"/>
          </w:tcPr>
          <w:p w14:paraId="497986C7">
            <w:pPr>
              <w:pStyle w:val="18"/>
              <w:adjustRightInd w:val="0"/>
              <w:snapToGrid w:val="0"/>
              <w:ind w:firstLine="0" w:firstLineChars="0"/>
              <w:rPr>
                <w:rFonts w:ascii="Times New Roman"/>
                <w:sz w:val="28"/>
                <w:szCs w:val="28"/>
              </w:rPr>
            </w:pPr>
          </w:p>
        </w:tc>
      </w:tr>
      <w:tr w14:paraId="6844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0B7C6E6">
            <w:pPr>
              <w:jc w:val="center"/>
              <w:rPr>
                <w:rFonts w:ascii="Times New Roman" w:hAnsi="Times New Roman"/>
                <w:sz w:val="28"/>
                <w:szCs w:val="28"/>
              </w:rPr>
            </w:pPr>
          </w:p>
        </w:tc>
        <w:tc>
          <w:tcPr>
            <w:tcW w:w="706" w:type="dxa"/>
            <w:vAlign w:val="center"/>
          </w:tcPr>
          <w:p w14:paraId="055652E1">
            <w:pPr>
              <w:jc w:val="center"/>
              <w:rPr>
                <w:rFonts w:ascii="Times New Roman" w:hAnsi="Times New Roman"/>
                <w:sz w:val="28"/>
                <w:szCs w:val="28"/>
              </w:rPr>
            </w:pPr>
            <w:r>
              <w:rPr>
                <w:rFonts w:hint="eastAsia" w:ascii="Times New Roman" w:hAnsi="Times New Roman"/>
                <w:sz w:val="28"/>
                <w:szCs w:val="28"/>
              </w:rPr>
              <w:t>7.5分拣区</w:t>
            </w:r>
          </w:p>
        </w:tc>
        <w:tc>
          <w:tcPr>
            <w:tcW w:w="3046" w:type="dxa"/>
            <w:vAlign w:val="center"/>
          </w:tcPr>
          <w:p w14:paraId="6E06FEF6">
            <w:pPr>
              <w:pStyle w:val="18"/>
              <w:adjustRightInd w:val="0"/>
              <w:snapToGrid w:val="0"/>
              <w:ind w:firstLine="0" w:firstLineChars="0"/>
              <w:rPr>
                <w:rFonts w:ascii="Times New Roman"/>
                <w:sz w:val="28"/>
                <w:szCs w:val="28"/>
              </w:rPr>
            </w:pPr>
            <w:r>
              <w:rPr>
                <w:rFonts w:hint="eastAsia" w:ascii="Times New Roman"/>
                <w:sz w:val="28"/>
                <w:szCs w:val="28"/>
              </w:rPr>
              <w:t>7.5.1　分拣区宜设置在控温封闭站台区域或相对独立的控温作业区域，并根据食品贮存要求设定环境温度。</w:t>
            </w:r>
          </w:p>
          <w:p w14:paraId="1D701170">
            <w:pPr>
              <w:pStyle w:val="18"/>
              <w:adjustRightInd w:val="0"/>
              <w:snapToGrid w:val="0"/>
              <w:ind w:firstLine="0" w:firstLineChars="0"/>
              <w:rPr>
                <w:rFonts w:ascii="Times New Roman"/>
                <w:sz w:val="28"/>
                <w:szCs w:val="28"/>
              </w:rPr>
            </w:pPr>
            <w:r>
              <w:rPr>
                <w:rFonts w:hint="eastAsia" w:ascii="Times New Roman"/>
                <w:sz w:val="28"/>
                <w:szCs w:val="28"/>
              </w:rPr>
              <w:t>7.5.2　分拣作业宜按照订单及食品温区组织实施，对不同温区食品、生食与熟食、直接入口食品与非直接入口食品，及正常品与异常品，宜采取分离或分隔措施。</w:t>
            </w:r>
          </w:p>
          <w:p w14:paraId="78386FBE">
            <w:pPr>
              <w:pStyle w:val="18"/>
              <w:adjustRightInd w:val="0"/>
              <w:snapToGrid w:val="0"/>
              <w:ind w:firstLine="0" w:firstLineChars="0"/>
              <w:rPr>
                <w:rFonts w:ascii="Times New Roman"/>
                <w:sz w:val="28"/>
                <w:szCs w:val="28"/>
              </w:rPr>
            </w:pPr>
            <w:r>
              <w:rPr>
                <w:rFonts w:hint="eastAsia" w:ascii="Times New Roman"/>
                <w:sz w:val="28"/>
                <w:szCs w:val="28"/>
              </w:rPr>
              <w:t>7.5.3　分拣货位、周转容器和待发食品宜设置清晰标识，并配备信息采集和作业记录设备。</w:t>
            </w:r>
          </w:p>
        </w:tc>
        <w:tc>
          <w:tcPr>
            <w:tcW w:w="2410" w:type="dxa"/>
            <w:vAlign w:val="center"/>
          </w:tcPr>
          <w:p w14:paraId="2823D54B">
            <w:pPr>
              <w:pStyle w:val="18"/>
              <w:adjustRightInd w:val="0"/>
              <w:snapToGrid w:val="0"/>
              <w:ind w:firstLine="0" w:firstLineChars="0"/>
              <w:rPr>
                <w:rFonts w:ascii="Times New Roman"/>
                <w:sz w:val="28"/>
                <w:szCs w:val="28"/>
              </w:rPr>
            </w:pPr>
            <w:r>
              <w:rPr>
                <w:rFonts w:hint="eastAsia" w:ascii="Times New Roman"/>
                <w:sz w:val="28"/>
                <w:szCs w:val="28"/>
              </w:rPr>
              <w:t>分拣区宜规划在封闭站台区域或单独设置。</w:t>
            </w:r>
          </w:p>
        </w:tc>
        <w:tc>
          <w:tcPr>
            <w:tcW w:w="2268" w:type="dxa"/>
            <w:vMerge w:val="continue"/>
            <w:vAlign w:val="center"/>
          </w:tcPr>
          <w:p w14:paraId="01BA6F19">
            <w:pPr>
              <w:pStyle w:val="18"/>
              <w:adjustRightInd w:val="0"/>
              <w:snapToGrid w:val="0"/>
              <w:ind w:firstLine="0" w:firstLineChars="0"/>
              <w:rPr>
                <w:rFonts w:ascii="Times New Roman"/>
                <w:sz w:val="28"/>
                <w:szCs w:val="28"/>
              </w:rPr>
            </w:pPr>
          </w:p>
        </w:tc>
      </w:tr>
      <w:tr w14:paraId="7F62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BAEB6D7">
            <w:pPr>
              <w:jc w:val="center"/>
              <w:rPr>
                <w:rFonts w:ascii="Times New Roman" w:hAnsi="Times New Roman"/>
                <w:sz w:val="28"/>
                <w:szCs w:val="28"/>
              </w:rPr>
            </w:pPr>
          </w:p>
        </w:tc>
        <w:tc>
          <w:tcPr>
            <w:tcW w:w="706" w:type="dxa"/>
            <w:vAlign w:val="center"/>
          </w:tcPr>
          <w:p w14:paraId="38A92202">
            <w:pPr>
              <w:jc w:val="center"/>
              <w:rPr>
                <w:rFonts w:ascii="Times New Roman" w:hAnsi="Times New Roman"/>
                <w:sz w:val="28"/>
                <w:szCs w:val="28"/>
              </w:rPr>
            </w:pPr>
            <w:r>
              <w:rPr>
                <w:rFonts w:hint="eastAsia" w:ascii="Times New Roman" w:hAnsi="Times New Roman"/>
                <w:sz w:val="28"/>
                <w:szCs w:val="28"/>
              </w:rPr>
              <w:t>7.6暂存区</w:t>
            </w:r>
          </w:p>
        </w:tc>
        <w:tc>
          <w:tcPr>
            <w:tcW w:w="3046" w:type="dxa"/>
            <w:vAlign w:val="center"/>
          </w:tcPr>
          <w:p w14:paraId="320F1C10">
            <w:pPr>
              <w:pStyle w:val="18"/>
              <w:adjustRightInd w:val="0"/>
              <w:snapToGrid w:val="0"/>
              <w:ind w:firstLine="0" w:firstLineChars="0"/>
              <w:rPr>
                <w:rFonts w:ascii="Times New Roman"/>
                <w:sz w:val="28"/>
                <w:szCs w:val="28"/>
              </w:rPr>
            </w:pPr>
            <w:r>
              <w:rPr>
                <w:rFonts w:hint="eastAsia" w:ascii="Times New Roman"/>
                <w:sz w:val="28"/>
                <w:szCs w:val="28"/>
              </w:rPr>
              <w:t>7.6.1　暂存区宜设置在靠近发货区的控温封闭站台区域。</w:t>
            </w:r>
          </w:p>
          <w:p w14:paraId="08B45E05">
            <w:pPr>
              <w:pStyle w:val="18"/>
              <w:adjustRightInd w:val="0"/>
              <w:snapToGrid w:val="0"/>
              <w:ind w:firstLine="0" w:firstLineChars="0"/>
              <w:rPr>
                <w:rFonts w:ascii="Times New Roman"/>
                <w:sz w:val="28"/>
                <w:szCs w:val="28"/>
              </w:rPr>
            </w:pPr>
            <w:r>
              <w:rPr>
                <w:rFonts w:hint="eastAsia" w:ascii="Times New Roman"/>
                <w:sz w:val="28"/>
                <w:szCs w:val="28"/>
              </w:rPr>
              <w:t>7.6.2　暂存区温度宜符合食品标签标示或相关标准规定的温湿度要求，并缩短暂存时间。</w:t>
            </w:r>
          </w:p>
          <w:p w14:paraId="1B75EC39">
            <w:pPr>
              <w:pStyle w:val="18"/>
              <w:adjustRightInd w:val="0"/>
              <w:snapToGrid w:val="0"/>
              <w:ind w:firstLine="0" w:firstLineChars="0"/>
              <w:rPr>
                <w:rFonts w:ascii="Times New Roman"/>
                <w:sz w:val="28"/>
                <w:szCs w:val="28"/>
              </w:rPr>
            </w:pPr>
            <w:r>
              <w:rPr>
                <w:rFonts w:hint="eastAsia" w:ascii="Times New Roman"/>
                <w:sz w:val="28"/>
                <w:szCs w:val="28"/>
              </w:rPr>
              <w:t>7.6.3　对温度异常、包装破损、退货、待检或不合格品，宜设置专用暂存区域或采取隔离措施，并进行明显标识。</w:t>
            </w:r>
          </w:p>
        </w:tc>
        <w:tc>
          <w:tcPr>
            <w:tcW w:w="2410" w:type="dxa"/>
            <w:vAlign w:val="center"/>
          </w:tcPr>
          <w:p w14:paraId="15F3F59D">
            <w:pPr>
              <w:pStyle w:val="18"/>
              <w:adjustRightInd w:val="0"/>
              <w:snapToGrid w:val="0"/>
              <w:ind w:firstLine="0" w:firstLineChars="0"/>
              <w:rPr>
                <w:rFonts w:ascii="Times New Roman"/>
                <w:sz w:val="28"/>
                <w:szCs w:val="28"/>
              </w:rPr>
            </w:pPr>
            <w:r>
              <w:rPr>
                <w:rFonts w:hint="eastAsia" w:ascii="Times New Roman"/>
                <w:sz w:val="28"/>
                <w:szCs w:val="28"/>
              </w:rPr>
              <w:t>待发暂存区宜设置在封闭低温站台区域，靠近发货区。</w:t>
            </w:r>
          </w:p>
        </w:tc>
        <w:tc>
          <w:tcPr>
            <w:tcW w:w="2268" w:type="dxa"/>
            <w:vMerge w:val="continue"/>
            <w:vAlign w:val="center"/>
          </w:tcPr>
          <w:p w14:paraId="4B2256A2">
            <w:pPr>
              <w:pStyle w:val="18"/>
              <w:adjustRightInd w:val="0"/>
              <w:snapToGrid w:val="0"/>
              <w:ind w:firstLine="0" w:firstLineChars="0"/>
              <w:rPr>
                <w:rFonts w:ascii="Times New Roman"/>
                <w:sz w:val="28"/>
                <w:szCs w:val="28"/>
              </w:rPr>
            </w:pPr>
          </w:p>
        </w:tc>
      </w:tr>
      <w:tr w14:paraId="6ECF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539B1D9">
            <w:pPr>
              <w:jc w:val="center"/>
              <w:rPr>
                <w:rFonts w:ascii="Times New Roman" w:hAnsi="Times New Roman"/>
                <w:sz w:val="28"/>
                <w:szCs w:val="28"/>
              </w:rPr>
            </w:pPr>
          </w:p>
        </w:tc>
        <w:tc>
          <w:tcPr>
            <w:tcW w:w="706" w:type="dxa"/>
            <w:vAlign w:val="center"/>
          </w:tcPr>
          <w:p w14:paraId="016895CC">
            <w:pPr>
              <w:jc w:val="center"/>
              <w:rPr>
                <w:rFonts w:ascii="Times New Roman" w:hAnsi="Times New Roman"/>
                <w:sz w:val="28"/>
                <w:szCs w:val="28"/>
              </w:rPr>
            </w:pPr>
            <w:r>
              <w:rPr>
                <w:rFonts w:hint="eastAsia" w:ascii="Times New Roman" w:hAnsi="Times New Roman"/>
                <w:sz w:val="28"/>
                <w:szCs w:val="28"/>
              </w:rPr>
              <w:t>7.7装卸作业区</w:t>
            </w:r>
          </w:p>
        </w:tc>
        <w:tc>
          <w:tcPr>
            <w:tcW w:w="3046" w:type="dxa"/>
            <w:vAlign w:val="center"/>
          </w:tcPr>
          <w:p w14:paraId="640B5133">
            <w:pPr>
              <w:pStyle w:val="18"/>
              <w:adjustRightInd w:val="0"/>
              <w:snapToGrid w:val="0"/>
              <w:ind w:firstLine="0" w:firstLineChars="0"/>
              <w:rPr>
                <w:rFonts w:ascii="Times New Roman"/>
                <w:sz w:val="28"/>
                <w:szCs w:val="28"/>
              </w:rPr>
            </w:pPr>
            <w:r>
              <w:rPr>
                <w:rFonts w:hint="eastAsia" w:ascii="Times New Roman"/>
                <w:sz w:val="28"/>
                <w:szCs w:val="28"/>
              </w:rPr>
              <w:t>7.7.1　装卸作业区的规划设计宜依据GB/T 28581—2021中4.3.1的规定进行。</w:t>
            </w:r>
          </w:p>
          <w:p w14:paraId="2137073E">
            <w:pPr>
              <w:pStyle w:val="18"/>
              <w:adjustRightInd w:val="0"/>
              <w:snapToGrid w:val="0"/>
              <w:ind w:firstLine="0" w:firstLineChars="0"/>
              <w:rPr>
                <w:rFonts w:ascii="Times New Roman"/>
                <w:sz w:val="28"/>
                <w:szCs w:val="28"/>
              </w:rPr>
            </w:pPr>
            <w:r>
              <w:rPr>
                <w:rFonts w:hint="eastAsia" w:ascii="Times New Roman"/>
                <w:sz w:val="28"/>
                <w:szCs w:val="28"/>
              </w:rPr>
              <w:t>7.7.2　宜采用封闭站台、门封、登车桥、快速门等设施。</w:t>
            </w:r>
          </w:p>
          <w:p w14:paraId="571D96B6">
            <w:pPr>
              <w:pStyle w:val="18"/>
              <w:adjustRightInd w:val="0"/>
              <w:snapToGrid w:val="0"/>
              <w:ind w:firstLine="0" w:firstLineChars="0"/>
              <w:rPr>
                <w:rFonts w:ascii="Times New Roman"/>
                <w:sz w:val="28"/>
                <w:szCs w:val="28"/>
              </w:rPr>
            </w:pPr>
            <w:r>
              <w:rPr>
                <w:rFonts w:hint="eastAsia" w:ascii="Times New Roman"/>
                <w:sz w:val="28"/>
                <w:szCs w:val="28"/>
              </w:rPr>
              <w:t>7.7.3　车辆对接处宜采取防撞、密封和安全防护措施。</w:t>
            </w:r>
          </w:p>
          <w:p w14:paraId="60C48AD9">
            <w:pPr>
              <w:pStyle w:val="18"/>
              <w:adjustRightInd w:val="0"/>
              <w:snapToGrid w:val="0"/>
              <w:ind w:firstLine="0" w:firstLineChars="0"/>
              <w:rPr>
                <w:rFonts w:ascii="Times New Roman"/>
                <w:sz w:val="28"/>
                <w:szCs w:val="28"/>
              </w:rPr>
            </w:pPr>
            <w:r>
              <w:rPr>
                <w:rFonts w:hint="eastAsia" w:ascii="Times New Roman"/>
                <w:sz w:val="28"/>
                <w:szCs w:val="28"/>
              </w:rPr>
              <w:t>7.7.4　装卸作业区宜合理设置照明、标志标线及人车分流设施。</w:t>
            </w:r>
          </w:p>
        </w:tc>
        <w:tc>
          <w:tcPr>
            <w:tcW w:w="2410" w:type="dxa"/>
            <w:vAlign w:val="center"/>
          </w:tcPr>
          <w:p w14:paraId="6F0F8640">
            <w:pPr>
              <w:pStyle w:val="18"/>
              <w:adjustRightInd w:val="0"/>
              <w:snapToGrid w:val="0"/>
              <w:ind w:firstLine="0" w:firstLineChars="0"/>
              <w:rPr>
                <w:rFonts w:ascii="Times New Roman"/>
                <w:sz w:val="28"/>
                <w:szCs w:val="28"/>
              </w:rPr>
            </w:pPr>
            <w:r>
              <w:rPr>
                <w:rFonts w:hint="eastAsia" w:ascii="Times New Roman"/>
                <w:sz w:val="28"/>
                <w:szCs w:val="28"/>
              </w:rPr>
              <w:t>装卸作业区的规划设计宜按GB/T 28581—2012中4.2.3的规定进行。</w:t>
            </w:r>
          </w:p>
        </w:tc>
        <w:tc>
          <w:tcPr>
            <w:tcW w:w="2268" w:type="dxa"/>
            <w:vMerge w:val="continue"/>
            <w:vAlign w:val="center"/>
          </w:tcPr>
          <w:p w14:paraId="419E3E7C">
            <w:pPr>
              <w:pStyle w:val="18"/>
              <w:adjustRightInd w:val="0"/>
              <w:snapToGrid w:val="0"/>
              <w:ind w:firstLine="0" w:firstLineChars="0"/>
              <w:rPr>
                <w:rFonts w:ascii="Times New Roman"/>
                <w:sz w:val="28"/>
                <w:szCs w:val="28"/>
              </w:rPr>
            </w:pPr>
          </w:p>
        </w:tc>
      </w:tr>
      <w:tr w14:paraId="459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04DE59C8">
            <w:pPr>
              <w:jc w:val="center"/>
              <w:rPr>
                <w:rFonts w:ascii="Times New Roman" w:hAnsi="Times New Roman"/>
                <w:sz w:val="28"/>
                <w:szCs w:val="28"/>
              </w:rPr>
            </w:pPr>
          </w:p>
        </w:tc>
        <w:tc>
          <w:tcPr>
            <w:tcW w:w="706" w:type="dxa"/>
            <w:vAlign w:val="center"/>
          </w:tcPr>
          <w:p w14:paraId="6127033A">
            <w:pPr>
              <w:jc w:val="center"/>
              <w:rPr>
                <w:rFonts w:ascii="Times New Roman" w:hAnsi="Times New Roman"/>
                <w:sz w:val="28"/>
                <w:szCs w:val="28"/>
              </w:rPr>
            </w:pPr>
            <w:r>
              <w:rPr>
                <w:rFonts w:hint="eastAsia" w:ascii="Times New Roman" w:hAnsi="Times New Roman"/>
                <w:sz w:val="28"/>
                <w:szCs w:val="28"/>
              </w:rPr>
              <w:t>7.8检测区</w:t>
            </w:r>
          </w:p>
        </w:tc>
        <w:tc>
          <w:tcPr>
            <w:tcW w:w="3046" w:type="dxa"/>
            <w:vAlign w:val="center"/>
          </w:tcPr>
          <w:p w14:paraId="3EADD29A">
            <w:pPr>
              <w:pStyle w:val="18"/>
              <w:adjustRightInd w:val="0"/>
              <w:snapToGrid w:val="0"/>
              <w:ind w:firstLine="0" w:firstLineChars="0"/>
              <w:rPr>
                <w:rFonts w:ascii="Times New Roman"/>
                <w:sz w:val="28"/>
                <w:szCs w:val="28"/>
              </w:rPr>
            </w:pPr>
            <w:r>
              <w:rPr>
                <w:rFonts w:hint="eastAsia" w:ascii="Times New Roman"/>
                <w:sz w:val="28"/>
                <w:szCs w:val="28"/>
              </w:rPr>
              <w:t>7.8.1　自行开展检测的，宜具备与检测项目相适应的检测场所、仪器设备和能力。</w:t>
            </w:r>
          </w:p>
          <w:p w14:paraId="2D752C79">
            <w:pPr>
              <w:pStyle w:val="18"/>
              <w:adjustRightInd w:val="0"/>
              <w:snapToGrid w:val="0"/>
              <w:ind w:firstLine="0" w:firstLineChars="0"/>
              <w:rPr>
                <w:rFonts w:ascii="Times New Roman"/>
                <w:sz w:val="28"/>
                <w:szCs w:val="28"/>
              </w:rPr>
            </w:pPr>
            <w:r>
              <w:rPr>
                <w:rFonts w:hint="eastAsia" w:ascii="Times New Roman"/>
                <w:sz w:val="28"/>
                <w:szCs w:val="28"/>
              </w:rPr>
              <w:t>7.8.2　检测区宜设置入库验收检测、抽样、样品暂存、快速检测、留样和待检食品暂存等功能，并靠近收货区布置。</w:t>
            </w:r>
          </w:p>
          <w:p w14:paraId="7B5C1F81">
            <w:pPr>
              <w:pStyle w:val="18"/>
              <w:adjustRightInd w:val="0"/>
              <w:snapToGrid w:val="0"/>
              <w:ind w:firstLine="0" w:firstLineChars="0"/>
              <w:rPr>
                <w:rFonts w:ascii="Times New Roman"/>
                <w:sz w:val="28"/>
                <w:szCs w:val="28"/>
              </w:rPr>
            </w:pPr>
            <w:r>
              <w:rPr>
                <w:rFonts w:hint="eastAsia" w:ascii="Times New Roman"/>
                <w:sz w:val="28"/>
                <w:szCs w:val="28"/>
              </w:rPr>
              <w:t>7.8.3　检测区宜与食品贮存、分拣、流通加工等作业区域有效分隔。</w:t>
            </w:r>
          </w:p>
        </w:tc>
        <w:tc>
          <w:tcPr>
            <w:tcW w:w="2410" w:type="dxa"/>
            <w:vAlign w:val="center"/>
          </w:tcPr>
          <w:p w14:paraId="183196F2">
            <w:pPr>
              <w:pStyle w:val="18"/>
              <w:adjustRightInd w:val="0"/>
              <w:snapToGrid w:val="0"/>
              <w:ind w:firstLine="0" w:firstLineChars="0"/>
              <w:rPr>
                <w:rFonts w:ascii="Times New Roman"/>
                <w:sz w:val="28"/>
                <w:szCs w:val="28"/>
              </w:rPr>
            </w:pPr>
            <w:r>
              <w:rPr>
                <w:rFonts w:hint="eastAsia" w:ascii="Times New Roman"/>
                <w:sz w:val="28"/>
                <w:szCs w:val="28"/>
              </w:rPr>
              <w:t>对入库的食品需要考虑设置安全检测的区域或食品检测室。</w:t>
            </w:r>
          </w:p>
        </w:tc>
        <w:tc>
          <w:tcPr>
            <w:tcW w:w="2268" w:type="dxa"/>
            <w:vMerge w:val="continue"/>
            <w:vAlign w:val="center"/>
          </w:tcPr>
          <w:p w14:paraId="417877CA">
            <w:pPr>
              <w:pStyle w:val="18"/>
              <w:adjustRightInd w:val="0"/>
              <w:snapToGrid w:val="0"/>
              <w:ind w:firstLine="0" w:firstLineChars="0"/>
              <w:rPr>
                <w:rFonts w:ascii="Times New Roman"/>
                <w:sz w:val="28"/>
                <w:szCs w:val="28"/>
              </w:rPr>
            </w:pPr>
          </w:p>
        </w:tc>
      </w:tr>
      <w:tr w14:paraId="3FE6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53E59CD4">
            <w:pPr>
              <w:jc w:val="center"/>
              <w:rPr>
                <w:rFonts w:ascii="Times New Roman" w:hAnsi="Times New Roman"/>
                <w:sz w:val="28"/>
                <w:szCs w:val="28"/>
              </w:rPr>
            </w:pPr>
          </w:p>
        </w:tc>
        <w:tc>
          <w:tcPr>
            <w:tcW w:w="706" w:type="dxa"/>
            <w:vAlign w:val="center"/>
          </w:tcPr>
          <w:p w14:paraId="2ABE51E6">
            <w:pPr>
              <w:jc w:val="center"/>
              <w:rPr>
                <w:rFonts w:ascii="Times New Roman" w:hAnsi="Times New Roman"/>
                <w:sz w:val="28"/>
                <w:szCs w:val="28"/>
              </w:rPr>
            </w:pPr>
            <w:r>
              <w:rPr>
                <w:rFonts w:hint="eastAsia" w:ascii="Times New Roman" w:hAnsi="Times New Roman"/>
                <w:sz w:val="28"/>
                <w:szCs w:val="28"/>
              </w:rPr>
              <w:t>7.9充电区</w:t>
            </w:r>
          </w:p>
        </w:tc>
        <w:tc>
          <w:tcPr>
            <w:tcW w:w="3046" w:type="dxa"/>
            <w:vAlign w:val="center"/>
          </w:tcPr>
          <w:p w14:paraId="1F607552">
            <w:pPr>
              <w:pStyle w:val="18"/>
              <w:adjustRightInd w:val="0"/>
              <w:snapToGrid w:val="0"/>
              <w:ind w:firstLine="0" w:firstLineChars="0"/>
              <w:rPr>
                <w:rFonts w:ascii="Times New Roman"/>
                <w:sz w:val="28"/>
                <w:szCs w:val="28"/>
              </w:rPr>
            </w:pPr>
            <w:r>
              <w:rPr>
                <w:rFonts w:hint="eastAsia" w:ascii="Times New Roman"/>
                <w:sz w:val="28"/>
                <w:szCs w:val="28"/>
              </w:rPr>
              <w:t>7.9.1　充电区宜设置通风、消防、应急断电、防撞、监控报警和安全标识等设施设备，并实行车辆通行、充电作业和人员通行分流。</w:t>
            </w:r>
          </w:p>
          <w:p w14:paraId="00C0E38D">
            <w:pPr>
              <w:pStyle w:val="18"/>
              <w:adjustRightInd w:val="0"/>
              <w:snapToGrid w:val="0"/>
              <w:ind w:firstLine="0" w:firstLineChars="0"/>
              <w:rPr>
                <w:rFonts w:ascii="Times New Roman"/>
                <w:sz w:val="28"/>
                <w:szCs w:val="28"/>
              </w:rPr>
            </w:pPr>
            <w:r>
              <w:rPr>
                <w:rFonts w:hint="eastAsia" w:ascii="Times New Roman"/>
                <w:sz w:val="28"/>
                <w:szCs w:val="28"/>
              </w:rPr>
              <w:t>7.9.2　用于电动配送车辆充电的设施，其总平面布置、供配电、监控通信、土建及消防设计宜依据GB/T 50966等标准执行。</w:t>
            </w:r>
          </w:p>
        </w:tc>
        <w:tc>
          <w:tcPr>
            <w:tcW w:w="2410" w:type="dxa"/>
            <w:vAlign w:val="center"/>
          </w:tcPr>
          <w:p w14:paraId="02E63CF1">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restart"/>
            <w:vAlign w:val="center"/>
          </w:tcPr>
          <w:p w14:paraId="55BC9D2D">
            <w:pPr>
              <w:pStyle w:val="18"/>
              <w:adjustRightInd w:val="0"/>
              <w:snapToGrid w:val="0"/>
              <w:ind w:firstLine="0" w:firstLineChars="0"/>
              <w:rPr>
                <w:rFonts w:ascii="Times New Roman"/>
                <w:sz w:val="28"/>
                <w:szCs w:val="28"/>
              </w:rPr>
            </w:pPr>
            <w:r>
              <w:rPr>
                <w:rFonts w:hint="eastAsia" w:ascii="Times New Roman"/>
                <w:sz w:val="28"/>
                <w:szCs w:val="28"/>
              </w:rPr>
              <w:t>增加了充电区和附属配套区的规划设计内容。</w:t>
            </w:r>
          </w:p>
        </w:tc>
      </w:tr>
      <w:tr w14:paraId="249F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1DA8FAE">
            <w:pPr>
              <w:jc w:val="center"/>
              <w:rPr>
                <w:rFonts w:ascii="Times New Roman" w:hAnsi="Times New Roman"/>
                <w:sz w:val="28"/>
                <w:szCs w:val="28"/>
              </w:rPr>
            </w:pPr>
          </w:p>
        </w:tc>
        <w:tc>
          <w:tcPr>
            <w:tcW w:w="706" w:type="dxa"/>
            <w:vAlign w:val="center"/>
          </w:tcPr>
          <w:p w14:paraId="28C6D244">
            <w:pPr>
              <w:jc w:val="center"/>
              <w:rPr>
                <w:rFonts w:ascii="Times New Roman" w:hAnsi="Times New Roman"/>
                <w:sz w:val="28"/>
                <w:szCs w:val="28"/>
              </w:rPr>
            </w:pPr>
            <w:r>
              <w:rPr>
                <w:rFonts w:hint="eastAsia" w:ascii="Times New Roman" w:hAnsi="Times New Roman"/>
                <w:sz w:val="28"/>
                <w:szCs w:val="28"/>
              </w:rPr>
              <w:t>7.10附属配套区</w:t>
            </w:r>
          </w:p>
        </w:tc>
        <w:tc>
          <w:tcPr>
            <w:tcW w:w="3046" w:type="dxa"/>
            <w:vAlign w:val="center"/>
          </w:tcPr>
          <w:p w14:paraId="77F27986">
            <w:pPr>
              <w:pStyle w:val="18"/>
              <w:adjustRightInd w:val="0"/>
              <w:snapToGrid w:val="0"/>
              <w:ind w:firstLine="0" w:firstLineChars="0"/>
              <w:rPr>
                <w:rFonts w:ascii="Times New Roman"/>
                <w:sz w:val="28"/>
                <w:szCs w:val="28"/>
              </w:rPr>
            </w:pPr>
            <w:r>
              <w:rPr>
                <w:rFonts w:hint="eastAsia" w:ascii="Times New Roman"/>
                <w:sz w:val="28"/>
                <w:szCs w:val="28"/>
              </w:rPr>
              <w:t>7.10.1　附属配套区宜依据动线、面积配比、卫生设施、生活配套、给排水等因素规划设计。</w:t>
            </w:r>
          </w:p>
          <w:p w14:paraId="2C2D07C9">
            <w:pPr>
              <w:pStyle w:val="18"/>
              <w:adjustRightInd w:val="0"/>
              <w:snapToGrid w:val="0"/>
              <w:ind w:firstLine="0" w:firstLineChars="0"/>
              <w:rPr>
                <w:rFonts w:ascii="Times New Roman"/>
                <w:sz w:val="28"/>
                <w:szCs w:val="28"/>
              </w:rPr>
            </w:pPr>
            <w:r>
              <w:rPr>
                <w:rFonts w:hint="eastAsia" w:ascii="Times New Roman"/>
                <w:sz w:val="28"/>
                <w:szCs w:val="28"/>
              </w:rPr>
              <w:t>7.10.2　人员生活服务区、办公区及维修区宜与食品作业区保持适当距离或采取有效分隔措施。</w:t>
            </w:r>
          </w:p>
          <w:p w14:paraId="56907878">
            <w:pPr>
              <w:pStyle w:val="18"/>
              <w:adjustRightInd w:val="0"/>
              <w:snapToGrid w:val="0"/>
              <w:ind w:firstLine="0" w:firstLineChars="0"/>
              <w:rPr>
                <w:rFonts w:ascii="Times New Roman"/>
                <w:sz w:val="28"/>
                <w:szCs w:val="28"/>
              </w:rPr>
            </w:pPr>
            <w:r>
              <w:rPr>
                <w:rFonts w:hint="eastAsia" w:ascii="Times New Roman"/>
                <w:sz w:val="28"/>
                <w:szCs w:val="28"/>
              </w:rPr>
              <w:t>7.10.3　卫生间不宜与食品作业、包装或贮存区域直接连通。</w:t>
            </w:r>
          </w:p>
          <w:p w14:paraId="557AF433">
            <w:pPr>
              <w:pStyle w:val="18"/>
              <w:adjustRightInd w:val="0"/>
              <w:snapToGrid w:val="0"/>
              <w:ind w:firstLine="0" w:firstLineChars="0"/>
              <w:rPr>
                <w:rFonts w:ascii="Times New Roman"/>
                <w:sz w:val="28"/>
                <w:szCs w:val="28"/>
              </w:rPr>
            </w:pPr>
            <w:r>
              <w:rPr>
                <w:rFonts w:hint="eastAsia" w:ascii="Times New Roman"/>
                <w:sz w:val="28"/>
                <w:szCs w:val="28"/>
              </w:rPr>
              <w:t>7.10.4　废弃物收集区宜设置在对食品作业影响较小的位置，并配置分类、密闭、防渗漏、易清洁的收集容器和必要的清洗排水设施。</w:t>
            </w:r>
          </w:p>
        </w:tc>
        <w:tc>
          <w:tcPr>
            <w:tcW w:w="2410" w:type="dxa"/>
            <w:vAlign w:val="center"/>
          </w:tcPr>
          <w:p w14:paraId="68F71E9E">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continue"/>
            <w:vAlign w:val="center"/>
          </w:tcPr>
          <w:p w14:paraId="6B5E8849">
            <w:pPr>
              <w:pStyle w:val="18"/>
              <w:adjustRightInd w:val="0"/>
              <w:snapToGrid w:val="0"/>
              <w:ind w:firstLine="0" w:firstLineChars="0"/>
              <w:rPr>
                <w:rFonts w:ascii="Times New Roman"/>
                <w:sz w:val="28"/>
                <w:szCs w:val="28"/>
              </w:rPr>
            </w:pPr>
          </w:p>
        </w:tc>
      </w:tr>
      <w:tr w14:paraId="1CEE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5FEFCC9B">
            <w:pPr>
              <w:jc w:val="center"/>
              <w:rPr>
                <w:rFonts w:ascii="Times New Roman" w:hAnsi="Times New Roman"/>
                <w:sz w:val="28"/>
                <w:szCs w:val="28"/>
              </w:rPr>
            </w:pPr>
            <w:r>
              <w:rPr>
                <w:rFonts w:hint="eastAsia" w:ascii="Times New Roman" w:hAnsi="Times New Roman"/>
                <w:sz w:val="28"/>
                <w:szCs w:val="28"/>
              </w:rPr>
              <w:t>8温控系统</w:t>
            </w:r>
          </w:p>
        </w:tc>
        <w:tc>
          <w:tcPr>
            <w:tcW w:w="706" w:type="dxa"/>
            <w:vAlign w:val="center"/>
          </w:tcPr>
          <w:p w14:paraId="0D893339">
            <w:pPr>
              <w:jc w:val="center"/>
              <w:rPr>
                <w:rFonts w:ascii="Times New Roman" w:hAnsi="Times New Roman"/>
                <w:sz w:val="28"/>
                <w:szCs w:val="28"/>
              </w:rPr>
            </w:pPr>
            <w:r>
              <w:rPr>
                <w:rFonts w:hint="eastAsia" w:ascii="Times New Roman" w:hAnsi="Times New Roman"/>
                <w:sz w:val="28"/>
                <w:szCs w:val="28"/>
              </w:rPr>
              <w:t>8.1</w:t>
            </w:r>
          </w:p>
        </w:tc>
        <w:tc>
          <w:tcPr>
            <w:tcW w:w="3046" w:type="dxa"/>
            <w:vAlign w:val="center"/>
          </w:tcPr>
          <w:p w14:paraId="12B85E3B">
            <w:pPr>
              <w:pStyle w:val="18"/>
              <w:adjustRightInd w:val="0"/>
              <w:snapToGrid w:val="0"/>
              <w:ind w:firstLine="0" w:firstLineChars="0"/>
              <w:rPr>
                <w:rFonts w:ascii="Times New Roman"/>
                <w:sz w:val="28"/>
                <w:szCs w:val="28"/>
              </w:rPr>
            </w:pPr>
            <w:r>
              <w:rPr>
                <w:rFonts w:hint="eastAsia" w:ascii="Times New Roman"/>
                <w:sz w:val="28"/>
                <w:szCs w:val="28"/>
              </w:rPr>
              <w:t>宜选用与业务形态匹配的合理的温控系统。</w:t>
            </w:r>
          </w:p>
        </w:tc>
        <w:tc>
          <w:tcPr>
            <w:tcW w:w="2410" w:type="dxa"/>
            <w:vMerge w:val="restart"/>
            <w:vAlign w:val="center"/>
          </w:tcPr>
          <w:p w14:paraId="4603B4A8">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restart"/>
            <w:vAlign w:val="center"/>
          </w:tcPr>
          <w:p w14:paraId="173665DA">
            <w:pPr>
              <w:pStyle w:val="18"/>
              <w:adjustRightInd w:val="0"/>
              <w:snapToGrid w:val="0"/>
              <w:ind w:firstLine="0" w:firstLineChars="0"/>
              <w:rPr>
                <w:rFonts w:ascii="Times New Roman"/>
                <w:sz w:val="28"/>
                <w:szCs w:val="28"/>
              </w:rPr>
            </w:pPr>
            <w:r>
              <w:rPr>
                <w:rFonts w:hint="eastAsia" w:ascii="Times New Roman"/>
                <w:sz w:val="28"/>
                <w:szCs w:val="28"/>
              </w:rPr>
              <w:t>增加了温控系统的规划设计内容（见第8章）。增加温控设备、温湿度采集点、光源、温湿度监测设备和信息记录设施的规划设计内容，并增加实时传感、异常报警、数据追溯、数据备存和温度失控应急处置等功能。</w:t>
            </w:r>
          </w:p>
        </w:tc>
      </w:tr>
      <w:tr w14:paraId="1C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41233EC">
            <w:pPr>
              <w:jc w:val="center"/>
              <w:rPr>
                <w:rFonts w:ascii="Times New Roman" w:hAnsi="Times New Roman"/>
                <w:sz w:val="28"/>
                <w:szCs w:val="28"/>
              </w:rPr>
            </w:pPr>
          </w:p>
        </w:tc>
        <w:tc>
          <w:tcPr>
            <w:tcW w:w="706" w:type="dxa"/>
            <w:vAlign w:val="center"/>
          </w:tcPr>
          <w:p w14:paraId="295ED44E">
            <w:pPr>
              <w:jc w:val="center"/>
              <w:rPr>
                <w:rFonts w:ascii="Times New Roman" w:hAnsi="Times New Roman"/>
                <w:sz w:val="28"/>
                <w:szCs w:val="28"/>
              </w:rPr>
            </w:pPr>
            <w:r>
              <w:rPr>
                <w:rFonts w:hint="eastAsia" w:ascii="Times New Roman" w:hAnsi="Times New Roman"/>
                <w:sz w:val="28"/>
                <w:szCs w:val="28"/>
              </w:rPr>
              <w:t>8.2</w:t>
            </w:r>
          </w:p>
        </w:tc>
        <w:tc>
          <w:tcPr>
            <w:tcW w:w="3046" w:type="dxa"/>
            <w:vAlign w:val="center"/>
          </w:tcPr>
          <w:p w14:paraId="3E5BA996">
            <w:pPr>
              <w:pStyle w:val="18"/>
              <w:adjustRightInd w:val="0"/>
              <w:snapToGrid w:val="0"/>
              <w:ind w:firstLine="0" w:firstLineChars="0"/>
              <w:rPr>
                <w:rFonts w:ascii="Times New Roman"/>
                <w:sz w:val="28"/>
                <w:szCs w:val="28"/>
              </w:rPr>
            </w:pPr>
            <w:r>
              <w:rPr>
                <w:rFonts w:hint="eastAsia" w:ascii="Times New Roman"/>
                <w:sz w:val="28"/>
                <w:szCs w:val="28"/>
              </w:rPr>
              <w:t>宜合理布局温控设备采集点及光源。</w:t>
            </w:r>
          </w:p>
        </w:tc>
        <w:tc>
          <w:tcPr>
            <w:tcW w:w="2410" w:type="dxa"/>
            <w:vMerge w:val="continue"/>
            <w:vAlign w:val="center"/>
          </w:tcPr>
          <w:p w14:paraId="5D85A746">
            <w:pPr>
              <w:pStyle w:val="18"/>
              <w:adjustRightInd w:val="0"/>
              <w:snapToGrid w:val="0"/>
              <w:ind w:firstLine="0" w:firstLineChars="0"/>
              <w:rPr>
                <w:rFonts w:ascii="Times New Roman"/>
                <w:sz w:val="28"/>
                <w:szCs w:val="28"/>
              </w:rPr>
            </w:pPr>
          </w:p>
        </w:tc>
        <w:tc>
          <w:tcPr>
            <w:tcW w:w="2268" w:type="dxa"/>
            <w:vMerge w:val="continue"/>
            <w:vAlign w:val="center"/>
          </w:tcPr>
          <w:p w14:paraId="6B6F02B7">
            <w:pPr>
              <w:pStyle w:val="18"/>
              <w:adjustRightInd w:val="0"/>
              <w:snapToGrid w:val="0"/>
              <w:ind w:firstLine="0" w:firstLineChars="0"/>
              <w:rPr>
                <w:rFonts w:ascii="Times New Roman"/>
                <w:sz w:val="28"/>
                <w:szCs w:val="28"/>
              </w:rPr>
            </w:pPr>
          </w:p>
        </w:tc>
      </w:tr>
      <w:tr w14:paraId="559D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0CDB2BB6">
            <w:pPr>
              <w:jc w:val="center"/>
              <w:rPr>
                <w:rFonts w:ascii="Times New Roman" w:hAnsi="Times New Roman"/>
                <w:sz w:val="28"/>
                <w:szCs w:val="28"/>
              </w:rPr>
            </w:pPr>
          </w:p>
        </w:tc>
        <w:tc>
          <w:tcPr>
            <w:tcW w:w="706" w:type="dxa"/>
            <w:vAlign w:val="center"/>
          </w:tcPr>
          <w:p w14:paraId="4F28A901">
            <w:pPr>
              <w:jc w:val="center"/>
              <w:rPr>
                <w:rFonts w:ascii="Times New Roman" w:hAnsi="Times New Roman"/>
                <w:sz w:val="28"/>
                <w:szCs w:val="28"/>
              </w:rPr>
            </w:pPr>
            <w:r>
              <w:rPr>
                <w:rFonts w:hint="eastAsia" w:ascii="Times New Roman" w:hAnsi="Times New Roman"/>
                <w:sz w:val="28"/>
                <w:szCs w:val="28"/>
              </w:rPr>
              <w:t>8.3</w:t>
            </w:r>
          </w:p>
        </w:tc>
        <w:tc>
          <w:tcPr>
            <w:tcW w:w="3046" w:type="dxa"/>
            <w:vAlign w:val="center"/>
          </w:tcPr>
          <w:p w14:paraId="2073468F">
            <w:pPr>
              <w:pStyle w:val="18"/>
              <w:adjustRightInd w:val="0"/>
              <w:snapToGrid w:val="0"/>
              <w:ind w:firstLine="0" w:firstLineChars="0"/>
              <w:rPr>
                <w:rFonts w:ascii="Times New Roman"/>
                <w:sz w:val="28"/>
                <w:szCs w:val="28"/>
              </w:rPr>
            </w:pPr>
            <w:r>
              <w:rPr>
                <w:rFonts w:hint="eastAsia" w:ascii="Times New Roman"/>
                <w:sz w:val="28"/>
                <w:szCs w:val="28"/>
              </w:rPr>
              <w:t>宜选用与业务形态匹配的温湿度监测设备，功能包括但不限于实时传感、异常报警、数据追溯。</w:t>
            </w:r>
          </w:p>
        </w:tc>
        <w:tc>
          <w:tcPr>
            <w:tcW w:w="2410" w:type="dxa"/>
            <w:vMerge w:val="continue"/>
            <w:vAlign w:val="center"/>
          </w:tcPr>
          <w:p w14:paraId="0166AE3A">
            <w:pPr>
              <w:pStyle w:val="18"/>
              <w:adjustRightInd w:val="0"/>
              <w:snapToGrid w:val="0"/>
              <w:ind w:firstLine="0" w:firstLineChars="0"/>
              <w:rPr>
                <w:rFonts w:ascii="Times New Roman"/>
                <w:sz w:val="28"/>
                <w:szCs w:val="28"/>
              </w:rPr>
            </w:pPr>
          </w:p>
        </w:tc>
        <w:tc>
          <w:tcPr>
            <w:tcW w:w="2268" w:type="dxa"/>
            <w:vMerge w:val="continue"/>
            <w:vAlign w:val="center"/>
          </w:tcPr>
          <w:p w14:paraId="5B36851D">
            <w:pPr>
              <w:pStyle w:val="18"/>
              <w:adjustRightInd w:val="0"/>
              <w:snapToGrid w:val="0"/>
              <w:ind w:firstLine="0" w:firstLineChars="0"/>
              <w:rPr>
                <w:rFonts w:ascii="Times New Roman"/>
                <w:sz w:val="28"/>
                <w:szCs w:val="28"/>
              </w:rPr>
            </w:pPr>
          </w:p>
        </w:tc>
      </w:tr>
      <w:tr w14:paraId="65BC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41DAD060">
            <w:pPr>
              <w:jc w:val="center"/>
              <w:rPr>
                <w:rFonts w:ascii="Times New Roman" w:hAnsi="Times New Roman"/>
                <w:sz w:val="28"/>
                <w:szCs w:val="28"/>
              </w:rPr>
            </w:pPr>
          </w:p>
        </w:tc>
        <w:tc>
          <w:tcPr>
            <w:tcW w:w="706" w:type="dxa"/>
            <w:vAlign w:val="center"/>
          </w:tcPr>
          <w:p w14:paraId="0278CF6A">
            <w:pPr>
              <w:jc w:val="center"/>
              <w:rPr>
                <w:rFonts w:ascii="Times New Roman" w:hAnsi="Times New Roman"/>
                <w:sz w:val="28"/>
                <w:szCs w:val="28"/>
              </w:rPr>
            </w:pPr>
            <w:r>
              <w:rPr>
                <w:rFonts w:hint="eastAsia" w:ascii="Times New Roman" w:hAnsi="Times New Roman"/>
                <w:sz w:val="28"/>
                <w:szCs w:val="28"/>
              </w:rPr>
              <w:t>8.4</w:t>
            </w:r>
          </w:p>
        </w:tc>
        <w:tc>
          <w:tcPr>
            <w:tcW w:w="3046" w:type="dxa"/>
            <w:vAlign w:val="center"/>
          </w:tcPr>
          <w:p w14:paraId="474047A0">
            <w:pPr>
              <w:pStyle w:val="18"/>
              <w:adjustRightInd w:val="0"/>
              <w:snapToGrid w:val="0"/>
              <w:ind w:firstLine="0" w:firstLineChars="0"/>
              <w:rPr>
                <w:rFonts w:ascii="Times New Roman"/>
                <w:sz w:val="28"/>
                <w:szCs w:val="28"/>
              </w:rPr>
            </w:pPr>
            <w:r>
              <w:rPr>
                <w:rFonts w:hint="eastAsia" w:ascii="Times New Roman"/>
                <w:sz w:val="28"/>
                <w:szCs w:val="28"/>
              </w:rPr>
              <w:t>宜制订温度失控应急处置预案。</w:t>
            </w:r>
          </w:p>
        </w:tc>
        <w:tc>
          <w:tcPr>
            <w:tcW w:w="2410" w:type="dxa"/>
            <w:vMerge w:val="continue"/>
            <w:vAlign w:val="center"/>
          </w:tcPr>
          <w:p w14:paraId="0808917B">
            <w:pPr>
              <w:pStyle w:val="18"/>
              <w:adjustRightInd w:val="0"/>
              <w:snapToGrid w:val="0"/>
              <w:ind w:firstLine="0" w:firstLineChars="0"/>
              <w:rPr>
                <w:rFonts w:ascii="Times New Roman"/>
                <w:sz w:val="28"/>
                <w:szCs w:val="28"/>
              </w:rPr>
            </w:pPr>
          </w:p>
        </w:tc>
        <w:tc>
          <w:tcPr>
            <w:tcW w:w="2268" w:type="dxa"/>
            <w:vMerge w:val="continue"/>
            <w:vAlign w:val="center"/>
          </w:tcPr>
          <w:p w14:paraId="4BC1D2AE">
            <w:pPr>
              <w:pStyle w:val="18"/>
              <w:adjustRightInd w:val="0"/>
              <w:snapToGrid w:val="0"/>
              <w:ind w:firstLine="0" w:firstLineChars="0"/>
              <w:rPr>
                <w:rFonts w:ascii="Times New Roman"/>
                <w:sz w:val="28"/>
                <w:szCs w:val="28"/>
              </w:rPr>
            </w:pPr>
          </w:p>
        </w:tc>
      </w:tr>
      <w:tr w14:paraId="60F4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9DD827C">
            <w:pPr>
              <w:jc w:val="center"/>
              <w:rPr>
                <w:rFonts w:ascii="Times New Roman" w:hAnsi="Times New Roman"/>
                <w:sz w:val="28"/>
                <w:szCs w:val="28"/>
              </w:rPr>
            </w:pPr>
          </w:p>
        </w:tc>
        <w:tc>
          <w:tcPr>
            <w:tcW w:w="706" w:type="dxa"/>
            <w:vAlign w:val="center"/>
          </w:tcPr>
          <w:p w14:paraId="01E39E66">
            <w:pPr>
              <w:jc w:val="center"/>
              <w:rPr>
                <w:rFonts w:ascii="Times New Roman" w:hAnsi="Times New Roman"/>
                <w:sz w:val="28"/>
                <w:szCs w:val="28"/>
              </w:rPr>
            </w:pPr>
            <w:r>
              <w:rPr>
                <w:rFonts w:hint="eastAsia" w:ascii="Times New Roman" w:hAnsi="Times New Roman"/>
                <w:sz w:val="28"/>
                <w:szCs w:val="28"/>
              </w:rPr>
              <w:t>8.5</w:t>
            </w:r>
          </w:p>
        </w:tc>
        <w:tc>
          <w:tcPr>
            <w:tcW w:w="3046" w:type="dxa"/>
            <w:vAlign w:val="center"/>
          </w:tcPr>
          <w:p w14:paraId="071ED56B">
            <w:pPr>
              <w:pStyle w:val="18"/>
              <w:adjustRightInd w:val="0"/>
              <w:snapToGrid w:val="0"/>
              <w:ind w:firstLine="0" w:firstLineChars="0"/>
              <w:rPr>
                <w:rFonts w:ascii="Times New Roman"/>
                <w:sz w:val="28"/>
                <w:szCs w:val="28"/>
              </w:rPr>
            </w:pPr>
            <w:r>
              <w:rPr>
                <w:rFonts w:hint="eastAsia" w:ascii="Times New Roman"/>
                <w:sz w:val="28"/>
                <w:szCs w:val="28"/>
              </w:rPr>
              <w:t>宜采用智能化温控系统，并定期备存。</w:t>
            </w:r>
          </w:p>
        </w:tc>
        <w:tc>
          <w:tcPr>
            <w:tcW w:w="2410" w:type="dxa"/>
            <w:vMerge w:val="continue"/>
            <w:vAlign w:val="center"/>
          </w:tcPr>
          <w:p w14:paraId="44EE1AA6">
            <w:pPr>
              <w:pStyle w:val="18"/>
              <w:adjustRightInd w:val="0"/>
              <w:snapToGrid w:val="0"/>
              <w:ind w:firstLine="0" w:firstLineChars="0"/>
              <w:rPr>
                <w:rFonts w:ascii="Times New Roman"/>
                <w:sz w:val="28"/>
                <w:szCs w:val="28"/>
              </w:rPr>
            </w:pPr>
          </w:p>
        </w:tc>
        <w:tc>
          <w:tcPr>
            <w:tcW w:w="2268" w:type="dxa"/>
            <w:vMerge w:val="continue"/>
            <w:vAlign w:val="center"/>
          </w:tcPr>
          <w:p w14:paraId="7D8135A8">
            <w:pPr>
              <w:pStyle w:val="18"/>
              <w:adjustRightInd w:val="0"/>
              <w:snapToGrid w:val="0"/>
              <w:ind w:firstLine="0" w:firstLineChars="0"/>
              <w:rPr>
                <w:rFonts w:ascii="Times New Roman"/>
                <w:sz w:val="28"/>
                <w:szCs w:val="28"/>
              </w:rPr>
            </w:pPr>
          </w:p>
        </w:tc>
      </w:tr>
      <w:tr w14:paraId="7200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50365F78">
            <w:pPr>
              <w:jc w:val="center"/>
              <w:rPr>
                <w:rFonts w:ascii="Times New Roman" w:hAnsi="Times New Roman"/>
                <w:sz w:val="28"/>
                <w:szCs w:val="28"/>
              </w:rPr>
            </w:pPr>
            <w:r>
              <w:rPr>
                <w:rFonts w:hint="eastAsia" w:ascii="Times New Roman" w:hAnsi="Times New Roman"/>
                <w:sz w:val="28"/>
                <w:szCs w:val="28"/>
              </w:rPr>
              <w:t>9道路及动线</w:t>
            </w:r>
          </w:p>
        </w:tc>
        <w:tc>
          <w:tcPr>
            <w:tcW w:w="706" w:type="dxa"/>
            <w:vAlign w:val="center"/>
          </w:tcPr>
          <w:p w14:paraId="50F956A2">
            <w:pPr>
              <w:jc w:val="center"/>
              <w:rPr>
                <w:rFonts w:ascii="Times New Roman" w:hAnsi="Times New Roman"/>
                <w:sz w:val="28"/>
                <w:szCs w:val="28"/>
              </w:rPr>
            </w:pPr>
            <w:r>
              <w:rPr>
                <w:rFonts w:hint="eastAsia" w:ascii="Times New Roman" w:hAnsi="Times New Roman"/>
                <w:sz w:val="28"/>
                <w:szCs w:val="28"/>
              </w:rPr>
              <w:t>9.1道路</w:t>
            </w:r>
          </w:p>
        </w:tc>
        <w:tc>
          <w:tcPr>
            <w:tcW w:w="3046" w:type="dxa"/>
            <w:vAlign w:val="center"/>
          </w:tcPr>
          <w:p w14:paraId="4F1C01A6">
            <w:pPr>
              <w:pStyle w:val="18"/>
              <w:adjustRightInd w:val="0"/>
              <w:snapToGrid w:val="0"/>
              <w:ind w:firstLine="0" w:firstLineChars="0"/>
              <w:rPr>
                <w:rFonts w:ascii="Times New Roman"/>
                <w:sz w:val="28"/>
                <w:szCs w:val="28"/>
              </w:rPr>
            </w:pPr>
            <w:r>
              <w:rPr>
                <w:rFonts w:hint="eastAsia" w:ascii="Times New Roman"/>
                <w:sz w:val="28"/>
                <w:szCs w:val="28"/>
              </w:rPr>
              <w:t>道路宜依据GB/T 28581—2021中4.4的规定进行规划设计。</w:t>
            </w:r>
          </w:p>
        </w:tc>
        <w:tc>
          <w:tcPr>
            <w:tcW w:w="2410" w:type="dxa"/>
            <w:vAlign w:val="center"/>
          </w:tcPr>
          <w:p w14:paraId="007828E8">
            <w:pPr>
              <w:pStyle w:val="18"/>
              <w:adjustRightInd w:val="0"/>
              <w:snapToGrid w:val="0"/>
              <w:ind w:firstLine="0" w:firstLineChars="0"/>
              <w:rPr>
                <w:rFonts w:ascii="Times New Roman"/>
                <w:sz w:val="28"/>
                <w:szCs w:val="28"/>
              </w:rPr>
            </w:pPr>
            <w:r>
              <w:rPr>
                <w:rFonts w:hint="eastAsia" w:ascii="Times New Roman"/>
                <w:sz w:val="28"/>
                <w:szCs w:val="28"/>
              </w:rPr>
              <w:t>道路宜按GB/T 28581—2012中4.3的规定进行规划。</w:t>
            </w:r>
          </w:p>
        </w:tc>
        <w:tc>
          <w:tcPr>
            <w:tcW w:w="2268" w:type="dxa"/>
            <w:vMerge w:val="restart"/>
            <w:vAlign w:val="center"/>
          </w:tcPr>
          <w:p w14:paraId="1CC5F977">
            <w:pPr>
              <w:pStyle w:val="18"/>
              <w:adjustRightInd w:val="0"/>
              <w:snapToGrid w:val="0"/>
              <w:ind w:firstLine="0" w:firstLineChars="0"/>
              <w:rPr>
                <w:rFonts w:ascii="Times New Roman"/>
                <w:sz w:val="28"/>
                <w:szCs w:val="28"/>
              </w:rPr>
            </w:pPr>
            <w:r>
              <w:rPr>
                <w:rFonts w:hint="eastAsia" w:ascii="Times New Roman"/>
                <w:sz w:val="28"/>
                <w:szCs w:val="28"/>
              </w:rPr>
              <w:t>更改了道路及动线的规划设计内容（见第9章，2019年版的第8章）。删除独立的“流程规划”章节，将与场地布局直接相关的正向物流、逆向物流、异常品处置和人员通行等纳入道路及动线、核心功能区及安全卫生内容；增加单向循环、减少交叉和有效分隔等内容，实现原料与成品、生品与熟品、洁净物与污染物、正常品与异常品、正向物流与逆向物流、人流与物流的有效分隔。</w:t>
            </w:r>
          </w:p>
        </w:tc>
      </w:tr>
      <w:tr w14:paraId="4C54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0947DB59">
            <w:pPr>
              <w:jc w:val="center"/>
              <w:rPr>
                <w:rFonts w:ascii="Times New Roman" w:hAnsi="Times New Roman"/>
                <w:sz w:val="28"/>
                <w:szCs w:val="28"/>
              </w:rPr>
            </w:pPr>
          </w:p>
        </w:tc>
        <w:tc>
          <w:tcPr>
            <w:tcW w:w="706" w:type="dxa"/>
            <w:vAlign w:val="center"/>
          </w:tcPr>
          <w:p w14:paraId="24B696F0">
            <w:pPr>
              <w:jc w:val="center"/>
              <w:rPr>
                <w:rFonts w:ascii="Times New Roman" w:hAnsi="Times New Roman"/>
                <w:sz w:val="28"/>
                <w:szCs w:val="28"/>
              </w:rPr>
            </w:pPr>
            <w:r>
              <w:rPr>
                <w:rFonts w:hint="eastAsia" w:ascii="Times New Roman" w:hAnsi="Times New Roman"/>
                <w:sz w:val="28"/>
                <w:szCs w:val="28"/>
              </w:rPr>
              <w:t>9.2物流动线</w:t>
            </w:r>
          </w:p>
        </w:tc>
        <w:tc>
          <w:tcPr>
            <w:tcW w:w="3046" w:type="dxa"/>
            <w:vAlign w:val="center"/>
          </w:tcPr>
          <w:p w14:paraId="40940323">
            <w:pPr>
              <w:pStyle w:val="18"/>
              <w:adjustRightInd w:val="0"/>
              <w:snapToGrid w:val="0"/>
              <w:ind w:firstLine="0" w:firstLineChars="0"/>
              <w:rPr>
                <w:rFonts w:ascii="Times New Roman"/>
                <w:sz w:val="28"/>
                <w:szCs w:val="28"/>
              </w:rPr>
            </w:pPr>
            <w:r>
              <w:rPr>
                <w:rFonts w:hint="eastAsia" w:ascii="Times New Roman"/>
                <w:sz w:val="28"/>
                <w:szCs w:val="28"/>
              </w:rPr>
              <w:t>物流动线宜根据食品安全、温控要求和作业效率等因素，结合单向循环原则进行规划设计，实现原料与成品、生品与熟品、洁净物与污染物、正常品与异常品、正向物流与逆向物流、人流与物流的有效分隔。</w:t>
            </w:r>
          </w:p>
        </w:tc>
        <w:tc>
          <w:tcPr>
            <w:tcW w:w="2410" w:type="dxa"/>
            <w:vAlign w:val="center"/>
          </w:tcPr>
          <w:p w14:paraId="09491A94">
            <w:pPr>
              <w:pStyle w:val="18"/>
              <w:adjustRightInd w:val="0"/>
              <w:snapToGrid w:val="0"/>
              <w:ind w:firstLine="0" w:firstLineChars="0"/>
              <w:rPr>
                <w:rFonts w:ascii="Times New Roman"/>
                <w:sz w:val="28"/>
                <w:szCs w:val="28"/>
              </w:rPr>
            </w:pPr>
            <w:r>
              <w:rPr>
                <w:rFonts w:hint="eastAsia" w:ascii="Times New Roman"/>
                <w:sz w:val="28"/>
                <w:szCs w:val="28"/>
              </w:rPr>
              <w:t>物流动线需根据动线最短、搬运工作量最小、食品温度损失最小的原则规划；物流动线包括卸货验收动线、食品搬运入库动线、往返加工区动线、往返理货分拣区动线、食品出库动线、分拨集货合流动线、物流载具动线、废弃物动线；物流动线的规划宜设计为单向循环，避免不同动线间的干扰。</w:t>
            </w:r>
          </w:p>
        </w:tc>
        <w:tc>
          <w:tcPr>
            <w:tcW w:w="2268" w:type="dxa"/>
            <w:vMerge w:val="continue"/>
            <w:vAlign w:val="center"/>
          </w:tcPr>
          <w:p w14:paraId="548D5078">
            <w:pPr>
              <w:pStyle w:val="18"/>
              <w:adjustRightInd w:val="0"/>
              <w:snapToGrid w:val="0"/>
              <w:ind w:firstLine="0" w:firstLineChars="0"/>
              <w:rPr>
                <w:rFonts w:ascii="Times New Roman"/>
                <w:sz w:val="28"/>
                <w:szCs w:val="28"/>
              </w:rPr>
            </w:pPr>
          </w:p>
        </w:tc>
      </w:tr>
      <w:tr w14:paraId="3AD6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06032178">
            <w:pPr>
              <w:jc w:val="center"/>
              <w:rPr>
                <w:rFonts w:ascii="Times New Roman" w:hAnsi="Times New Roman"/>
                <w:sz w:val="28"/>
                <w:szCs w:val="28"/>
              </w:rPr>
            </w:pPr>
          </w:p>
        </w:tc>
        <w:tc>
          <w:tcPr>
            <w:tcW w:w="706" w:type="dxa"/>
            <w:vAlign w:val="center"/>
          </w:tcPr>
          <w:p w14:paraId="4127B2AA">
            <w:pPr>
              <w:jc w:val="center"/>
              <w:rPr>
                <w:rFonts w:ascii="Times New Roman" w:hAnsi="Times New Roman"/>
                <w:sz w:val="28"/>
                <w:szCs w:val="28"/>
              </w:rPr>
            </w:pPr>
            <w:r>
              <w:rPr>
                <w:rFonts w:hint="eastAsia" w:ascii="Times New Roman" w:hAnsi="Times New Roman"/>
                <w:sz w:val="28"/>
                <w:szCs w:val="28"/>
              </w:rPr>
              <w:t>9.3人流动线</w:t>
            </w:r>
          </w:p>
        </w:tc>
        <w:tc>
          <w:tcPr>
            <w:tcW w:w="3046" w:type="dxa"/>
            <w:vAlign w:val="center"/>
          </w:tcPr>
          <w:p w14:paraId="6BA65762">
            <w:pPr>
              <w:pStyle w:val="18"/>
              <w:adjustRightInd w:val="0"/>
              <w:snapToGrid w:val="0"/>
              <w:ind w:firstLine="0" w:firstLineChars="0"/>
              <w:rPr>
                <w:rFonts w:ascii="Times New Roman"/>
                <w:sz w:val="28"/>
                <w:szCs w:val="28"/>
              </w:rPr>
            </w:pPr>
            <w:r>
              <w:rPr>
                <w:rFonts w:hint="eastAsia" w:ascii="Times New Roman"/>
                <w:sz w:val="28"/>
                <w:szCs w:val="28"/>
              </w:rPr>
              <w:t>人流动线宜与物流动线分隔。当人流动线与物流动线并行时，宜对标识进行区分。</w:t>
            </w:r>
          </w:p>
        </w:tc>
        <w:tc>
          <w:tcPr>
            <w:tcW w:w="2410" w:type="dxa"/>
            <w:vAlign w:val="center"/>
          </w:tcPr>
          <w:p w14:paraId="677339CB">
            <w:pPr>
              <w:pStyle w:val="18"/>
              <w:adjustRightInd w:val="0"/>
              <w:snapToGrid w:val="0"/>
              <w:ind w:firstLine="0" w:firstLineChars="0"/>
              <w:rPr>
                <w:rFonts w:ascii="Times New Roman"/>
                <w:sz w:val="28"/>
                <w:szCs w:val="28"/>
              </w:rPr>
            </w:pPr>
            <w:r>
              <w:rPr>
                <w:rFonts w:hint="eastAsia" w:ascii="Times New Roman"/>
                <w:sz w:val="28"/>
                <w:szCs w:val="28"/>
              </w:rPr>
              <w:t>人员动线可与物流动线并行但需考虑标识进行区分，避免与物流动线交叉。包括人员从办公区、更衣室等进人低温配送中心动线，进出各作业区域的动线等。</w:t>
            </w:r>
          </w:p>
        </w:tc>
        <w:tc>
          <w:tcPr>
            <w:tcW w:w="2268" w:type="dxa"/>
            <w:vMerge w:val="continue"/>
            <w:vAlign w:val="center"/>
          </w:tcPr>
          <w:p w14:paraId="4A7D0FDD">
            <w:pPr>
              <w:pStyle w:val="18"/>
              <w:adjustRightInd w:val="0"/>
              <w:snapToGrid w:val="0"/>
              <w:ind w:firstLine="0" w:firstLineChars="0"/>
              <w:rPr>
                <w:rFonts w:ascii="Times New Roman"/>
                <w:sz w:val="28"/>
                <w:szCs w:val="28"/>
              </w:rPr>
            </w:pPr>
          </w:p>
        </w:tc>
      </w:tr>
      <w:tr w14:paraId="37A3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6651890B">
            <w:pPr>
              <w:jc w:val="center"/>
              <w:rPr>
                <w:rFonts w:ascii="Times New Roman" w:hAnsi="Times New Roman"/>
                <w:sz w:val="28"/>
                <w:szCs w:val="28"/>
              </w:rPr>
            </w:pPr>
            <w:r>
              <w:rPr>
                <w:rFonts w:hint="eastAsia" w:ascii="Times New Roman" w:hAnsi="Times New Roman"/>
                <w:sz w:val="28"/>
                <w:szCs w:val="28"/>
              </w:rPr>
              <w:t>10作业设备</w:t>
            </w:r>
          </w:p>
        </w:tc>
        <w:tc>
          <w:tcPr>
            <w:tcW w:w="706" w:type="dxa"/>
            <w:vAlign w:val="center"/>
          </w:tcPr>
          <w:p w14:paraId="610354B8">
            <w:pPr>
              <w:jc w:val="center"/>
              <w:rPr>
                <w:rFonts w:ascii="Times New Roman" w:hAnsi="Times New Roman"/>
                <w:sz w:val="28"/>
                <w:szCs w:val="28"/>
              </w:rPr>
            </w:pPr>
            <w:r>
              <w:rPr>
                <w:rFonts w:hint="eastAsia" w:ascii="Times New Roman" w:hAnsi="Times New Roman"/>
                <w:sz w:val="28"/>
                <w:szCs w:val="28"/>
              </w:rPr>
              <w:t>10.1预冷设备</w:t>
            </w:r>
          </w:p>
        </w:tc>
        <w:tc>
          <w:tcPr>
            <w:tcW w:w="3046" w:type="dxa"/>
            <w:vAlign w:val="center"/>
          </w:tcPr>
          <w:p w14:paraId="57D5FBFF">
            <w:pPr>
              <w:pStyle w:val="18"/>
              <w:adjustRightInd w:val="0"/>
              <w:snapToGrid w:val="0"/>
              <w:ind w:firstLine="0" w:firstLineChars="0"/>
              <w:rPr>
                <w:rFonts w:ascii="Times New Roman"/>
                <w:sz w:val="28"/>
                <w:szCs w:val="28"/>
              </w:rPr>
            </w:pPr>
            <w:r>
              <w:rPr>
                <w:rFonts w:hint="eastAsia" w:ascii="Times New Roman"/>
                <w:sz w:val="28"/>
                <w:szCs w:val="28"/>
              </w:rPr>
              <w:t>宜根据食品特性选用预冷设备，包括但不限于空气预冷型、真空预冷型、冷（冰）水预冷型机械预冷设备。</w:t>
            </w:r>
          </w:p>
        </w:tc>
        <w:tc>
          <w:tcPr>
            <w:tcW w:w="2410" w:type="dxa"/>
            <w:vAlign w:val="center"/>
          </w:tcPr>
          <w:p w14:paraId="473147B8">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Align w:val="center"/>
          </w:tcPr>
          <w:p w14:paraId="48992EC4">
            <w:pPr>
              <w:pStyle w:val="18"/>
              <w:adjustRightInd w:val="0"/>
              <w:snapToGrid w:val="0"/>
              <w:ind w:firstLine="0" w:firstLineChars="0"/>
              <w:rPr>
                <w:rFonts w:ascii="Times New Roman"/>
                <w:sz w:val="28"/>
                <w:szCs w:val="28"/>
              </w:rPr>
            </w:pPr>
            <w:r>
              <w:rPr>
                <w:rFonts w:hint="eastAsia" w:ascii="Times New Roman"/>
                <w:sz w:val="28"/>
                <w:szCs w:val="28"/>
              </w:rPr>
              <w:t>根据核心功能区预冷区，对应增加了预冷设备的内容。</w:t>
            </w:r>
          </w:p>
        </w:tc>
      </w:tr>
      <w:tr w14:paraId="006A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10E75DEA">
            <w:pPr>
              <w:jc w:val="center"/>
              <w:rPr>
                <w:rFonts w:ascii="Times New Roman" w:hAnsi="Times New Roman"/>
                <w:sz w:val="28"/>
                <w:szCs w:val="28"/>
              </w:rPr>
            </w:pPr>
          </w:p>
        </w:tc>
        <w:tc>
          <w:tcPr>
            <w:tcW w:w="706" w:type="dxa"/>
            <w:vAlign w:val="center"/>
          </w:tcPr>
          <w:p w14:paraId="170A9F9E">
            <w:pPr>
              <w:jc w:val="center"/>
              <w:rPr>
                <w:rFonts w:ascii="Times New Roman" w:hAnsi="Times New Roman"/>
                <w:sz w:val="28"/>
                <w:szCs w:val="28"/>
              </w:rPr>
            </w:pPr>
            <w:r>
              <w:rPr>
                <w:rFonts w:hint="eastAsia" w:ascii="Times New Roman" w:hAnsi="Times New Roman"/>
                <w:sz w:val="28"/>
                <w:szCs w:val="28"/>
              </w:rPr>
              <w:t>10.2存储设备</w:t>
            </w:r>
          </w:p>
        </w:tc>
        <w:tc>
          <w:tcPr>
            <w:tcW w:w="3046" w:type="dxa"/>
            <w:vAlign w:val="center"/>
          </w:tcPr>
          <w:p w14:paraId="0D9A406D">
            <w:pPr>
              <w:pStyle w:val="18"/>
              <w:adjustRightInd w:val="0"/>
              <w:snapToGrid w:val="0"/>
              <w:ind w:firstLine="0" w:firstLineChars="0"/>
              <w:rPr>
                <w:rFonts w:ascii="Times New Roman"/>
                <w:sz w:val="28"/>
                <w:szCs w:val="28"/>
              </w:rPr>
            </w:pPr>
            <w:r>
              <w:rPr>
                <w:rFonts w:hint="eastAsia" w:ascii="Times New Roman"/>
                <w:sz w:val="28"/>
                <w:szCs w:val="28"/>
              </w:rPr>
              <w:t>宜根据食品的存储需求与投资运营成本选用存储设备，包括但不限于GB/T 43910中界定的设施设备，并执行GB 14881—2025中5.1.8的规定。</w:t>
            </w:r>
          </w:p>
        </w:tc>
        <w:tc>
          <w:tcPr>
            <w:tcW w:w="2410" w:type="dxa"/>
            <w:vAlign w:val="center"/>
          </w:tcPr>
          <w:p w14:paraId="71A648C5">
            <w:pPr>
              <w:pStyle w:val="18"/>
              <w:adjustRightInd w:val="0"/>
              <w:snapToGrid w:val="0"/>
              <w:ind w:firstLine="0" w:firstLineChars="0"/>
              <w:rPr>
                <w:rFonts w:ascii="Times New Roman"/>
                <w:sz w:val="28"/>
                <w:szCs w:val="28"/>
              </w:rPr>
            </w:pPr>
            <w:r>
              <w:rPr>
                <w:rFonts w:hint="eastAsia" w:ascii="Times New Roman"/>
                <w:sz w:val="28"/>
                <w:szCs w:val="28"/>
              </w:rPr>
              <w:t>根据食品的存储需求与投资运营成本，宜选用不同的存储设备，包含压人式货架、驶入式货架、横梁式货架、隔板式货架、移动式货架、巧固笼等。</w:t>
            </w:r>
          </w:p>
        </w:tc>
        <w:tc>
          <w:tcPr>
            <w:tcW w:w="2268" w:type="dxa"/>
            <w:vMerge w:val="restart"/>
            <w:vAlign w:val="center"/>
          </w:tcPr>
          <w:p w14:paraId="1342B018">
            <w:pPr>
              <w:pStyle w:val="18"/>
              <w:adjustRightInd w:val="0"/>
              <w:snapToGrid w:val="0"/>
              <w:ind w:firstLine="0" w:firstLineChars="0"/>
              <w:rPr>
                <w:rFonts w:ascii="Times New Roman"/>
                <w:sz w:val="28"/>
                <w:szCs w:val="28"/>
              </w:rPr>
            </w:pPr>
            <w:r>
              <w:rPr>
                <w:rFonts w:hint="eastAsia" w:ascii="Times New Roman"/>
                <w:sz w:val="28"/>
                <w:szCs w:val="28"/>
              </w:rPr>
              <w:t>更改了作业设备的内容（见10.2～10.7，2019年版的9.1～9.6）。将作业设备内容扩展为预冷设备、存储设备、分拣设备、搬运设备、流通加工设备、物流容器、检测设备及网络和信息化设备；增加自动化立体存储系统、四向穿梭车密集存储系统、AGV、AMR、自动分拣设备、保温箱、笼车和物联网设备等内容。</w:t>
            </w:r>
          </w:p>
        </w:tc>
      </w:tr>
      <w:tr w14:paraId="494E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8D9C19E">
            <w:pPr>
              <w:jc w:val="center"/>
              <w:rPr>
                <w:rFonts w:ascii="Times New Roman" w:hAnsi="Times New Roman"/>
                <w:sz w:val="28"/>
                <w:szCs w:val="28"/>
              </w:rPr>
            </w:pPr>
          </w:p>
        </w:tc>
        <w:tc>
          <w:tcPr>
            <w:tcW w:w="706" w:type="dxa"/>
            <w:vAlign w:val="center"/>
          </w:tcPr>
          <w:p w14:paraId="14E5960B">
            <w:pPr>
              <w:jc w:val="center"/>
              <w:rPr>
                <w:rFonts w:ascii="Times New Roman" w:hAnsi="Times New Roman"/>
                <w:sz w:val="28"/>
                <w:szCs w:val="28"/>
              </w:rPr>
            </w:pPr>
            <w:r>
              <w:rPr>
                <w:rFonts w:hint="eastAsia" w:ascii="Times New Roman" w:hAnsi="Times New Roman"/>
                <w:sz w:val="28"/>
                <w:szCs w:val="28"/>
              </w:rPr>
              <w:t>10.3分拣设备</w:t>
            </w:r>
          </w:p>
        </w:tc>
        <w:tc>
          <w:tcPr>
            <w:tcW w:w="3046" w:type="dxa"/>
            <w:vAlign w:val="center"/>
          </w:tcPr>
          <w:p w14:paraId="46B9D24D">
            <w:pPr>
              <w:pStyle w:val="18"/>
              <w:adjustRightInd w:val="0"/>
              <w:snapToGrid w:val="0"/>
              <w:ind w:firstLine="0" w:firstLineChars="0"/>
              <w:rPr>
                <w:rFonts w:ascii="Times New Roman"/>
                <w:sz w:val="28"/>
                <w:szCs w:val="28"/>
              </w:rPr>
            </w:pPr>
            <w:r>
              <w:rPr>
                <w:rFonts w:hint="eastAsia" w:ascii="Times New Roman"/>
                <w:sz w:val="28"/>
                <w:szCs w:val="28"/>
              </w:rPr>
              <w:t>宜根据食品分拣规模与投资运营成本选用分拣设备，包括但不限于电子标签、手持扫描设备、自动分拣设备。</w:t>
            </w:r>
          </w:p>
        </w:tc>
        <w:tc>
          <w:tcPr>
            <w:tcW w:w="2410" w:type="dxa"/>
            <w:vAlign w:val="center"/>
          </w:tcPr>
          <w:p w14:paraId="61C5B78D">
            <w:pPr>
              <w:pStyle w:val="18"/>
              <w:adjustRightInd w:val="0"/>
              <w:snapToGrid w:val="0"/>
              <w:ind w:firstLine="0" w:firstLineChars="0"/>
              <w:rPr>
                <w:rFonts w:ascii="Times New Roman"/>
                <w:sz w:val="28"/>
                <w:szCs w:val="28"/>
              </w:rPr>
            </w:pPr>
            <w:r>
              <w:rPr>
                <w:rFonts w:hint="eastAsia" w:ascii="Times New Roman"/>
                <w:sz w:val="28"/>
                <w:szCs w:val="28"/>
              </w:rPr>
              <w:t>根据食品分拣规模与投资运营成本，宜合理选取分拣设备，包含电子标签、手持扫描设备、自动分拣机等。</w:t>
            </w:r>
          </w:p>
        </w:tc>
        <w:tc>
          <w:tcPr>
            <w:tcW w:w="2268" w:type="dxa"/>
            <w:vMerge w:val="continue"/>
            <w:vAlign w:val="center"/>
          </w:tcPr>
          <w:p w14:paraId="791F856B">
            <w:pPr>
              <w:pStyle w:val="18"/>
              <w:adjustRightInd w:val="0"/>
              <w:snapToGrid w:val="0"/>
              <w:ind w:firstLine="0" w:firstLineChars="0"/>
              <w:rPr>
                <w:rFonts w:ascii="Times New Roman"/>
                <w:sz w:val="28"/>
                <w:szCs w:val="28"/>
              </w:rPr>
            </w:pPr>
          </w:p>
        </w:tc>
      </w:tr>
      <w:tr w14:paraId="02B7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92DF2C0">
            <w:pPr>
              <w:jc w:val="center"/>
              <w:rPr>
                <w:rFonts w:ascii="Times New Roman" w:hAnsi="Times New Roman"/>
                <w:sz w:val="28"/>
                <w:szCs w:val="28"/>
              </w:rPr>
            </w:pPr>
          </w:p>
        </w:tc>
        <w:tc>
          <w:tcPr>
            <w:tcW w:w="706" w:type="dxa"/>
            <w:vAlign w:val="center"/>
          </w:tcPr>
          <w:p w14:paraId="22C69967">
            <w:pPr>
              <w:jc w:val="center"/>
              <w:rPr>
                <w:rFonts w:ascii="Times New Roman" w:hAnsi="Times New Roman"/>
                <w:sz w:val="28"/>
                <w:szCs w:val="28"/>
              </w:rPr>
            </w:pPr>
            <w:r>
              <w:rPr>
                <w:rFonts w:hint="eastAsia" w:ascii="Times New Roman" w:hAnsi="Times New Roman"/>
                <w:sz w:val="28"/>
                <w:szCs w:val="28"/>
              </w:rPr>
              <w:t>10.4搬运设备</w:t>
            </w:r>
          </w:p>
        </w:tc>
        <w:tc>
          <w:tcPr>
            <w:tcW w:w="3046" w:type="dxa"/>
            <w:vAlign w:val="center"/>
          </w:tcPr>
          <w:p w14:paraId="37F7BC3E">
            <w:pPr>
              <w:pStyle w:val="18"/>
              <w:adjustRightInd w:val="0"/>
              <w:snapToGrid w:val="0"/>
              <w:ind w:firstLine="0" w:firstLineChars="0"/>
              <w:rPr>
                <w:rFonts w:ascii="Times New Roman"/>
                <w:sz w:val="28"/>
                <w:szCs w:val="28"/>
              </w:rPr>
            </w:pPr>
            <w:r>
              <w:rPr>
                <w:rFonts w:hint="eastAsia" w:ascii="Times New Roman"/>
                <w:sz w:val="28"/>
                <w:szCs w:val="28"/>
              </w:rPr>
              <w:t>宜选择与存储单元设备相匹配的搬运设备，包括但不限于AGV、AMR、蓄电瓶叉车、手动搬运车、输送带。</w:t>
            </w:r>
          </w:p>
        </w:tc>
        <w:tc>
          <w:tcPr>
            <w:tcW w:w="2410" w:type="dxa"/>
            <w:vAlign w:val="center"/>
          </w:tcPr>
          <w:p w14:paraId="35FD565D">
            <w:pPr>
              <w:pStyle w:val="18"/>
              <w:adjustRightInd w:val="0"/>
              <w:snapToGrid w:val="0"/>
              <w:ind w:firstLine="0" w:firstLineChars="0"/>
              <w:rPr>
                <w:rFonts w:ascii="Times New Roman"/>
                <w:sz w:val="28"/>
                <w:szCs w:val="28"/>
              </w:rPr>
            </w:pPr>
            <w:r>
              <w:rPr>
                <w:rFonts w:hint="eastAsia" w:ascii="Times New Roman"/>
                <w:sz w:val="28"/>
                <w:szCs w:val="28"/>
              </w:rPr>
              <w:t>宜选择与存储单元设备相匹配的搬运设备，包含蓄电瓶叉车、手动搬运车、输送带等。</w:t>
            </w:r>
          </w:p>
        </w:tc>
        <w:tc>
          <w:tcPr>
            <w:tcW w:w="2268" w:type="dxa"/>
            <w:vMerge w:val="continue"/>
            <w:vAlign w:val="center"/>
          </w:tcPr>
          <w:p w14:paraId="52E6FE55">
            <w:pPr>
              <w:pStyle w:val="18"/>
              <w:adjustRightInd w:val="0"/>
              <w:snapToGrid w:val="0"/>
              <w:ind w:firstLine="0" w:firstLineChars="0"/>
              <w:rPr>
                <w:rFonts w:ascii="Times New Roman"/>
                <w:sz w:val="28"/>
                <w:szCs w:val="28"/>
              </w:rPr>
            </w:pPr>
          </w:p>
        </w:tc>
      </w:tr>
      <w:tr w14:paraId="7B2A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41F5F0E">
            <w:pPr>
              <w:jc w:val="center"/>
              <w:rPr>
                <w:rFonts w:ascii="Times New Roman" w:hAnsi="Times New Roman"/>
                <w:sz w:val="28"/>
                <w:szCs w:val="28"/>
              </w:rPr>
            </w:pPr>
          </w:p>
        </w:tc>
        <w:tc>
          <w:tcPr>
            <w:tcW w:w="706" w:type="dxa"/>
            <w:vAlign w:val="center"/>
          </w:tcPr>
          <w:p w14:paraId="228E8896">
            <w:pPr>
              <w:jc w:val="center"/>
              <w:rPr>
                <w:rFonts w:ascii="Times New Roman" w:hAnsi="Times New Roman"/>
                <w:sz w:val="28"/>
                <w:szCs w:val="28"/>
              </w:rPr>
            </w:pPr>
            <w:r>
              <w:rPr>
                <w:rFonts w:hint="eastAsia" w:ascii="Times New Roman" w:hAnsi="Times New Roman"/>
                <w:sz w:val="28"/>
                <w:szCs w:val="28"/>
              </w:rPr>
              <w:t>10.5流通加工设备</w:t>
            </w:r>
          </w:p>
        </w:tc>
        <w:tc>
          <w:tcPr>
            <w:tcW w:w="3046" w:type="dxa"/>
            <w:vAlign w:val="center"/>
          </w:tcPr>
          <w:p w14:paraId="511AAD92">
            <w:pPr>
              <w:pStyle w:val="18"/>
              <w:adjustRightInd w:val="0"/>
              <w:snapToGrid w:val="0"/>
              <w:ind w:firstLine="0" w:firstLineChars="0"/>
              <w:rPr>
                <w:rFonts w:ascii="Times New Roman"/>
                <w:sz w:val="28"/>
                <w:szCs w:val="28"/>
              </w:rPr>
            </w:pPr>
            <w:r>
              <w:rPr>
                <w:rFonts w:hint="eastAsia" w:ascii="Times New Roman"/>
                <w:sz w:val="28"/>
                <w:szCs w:val="28"/>
              </w:rPr>
              <w:t>宜选择与流通加工需求相匹配的设备，包括但不限于流水线设备、包装机、贴标机。</w:t>
            </w:r>
          </w:p>
        </w:tc>
        <w:tc>
          <w:tcPr>
            <w:tcW w:w="2410" w:type="dxa"/>
            <w:vAlign w:val="center"/>
          </w:tcPr>
          <w:p w14:paraId="07819408">
            <w:pPr>
              <w:pStyle w:val="18"/>
              <w:adjustRightInd w:val="0"/>
              <w:snapToGrid w:val="0"/>
              <w:ind w:firstLine="0" w:firstLineChars="0"/>
              <w:rPr>
                <w:rFonts w:ascii="Times New Roman"/>
                <w:sz w:val="28"/>
                <w:szCs w:val="28"/>
              </w:rPr>
            </w:pPr>
            <w:r>
              <w:rPr>
                <w:rFonts w:hint="eastAsia" w:ascii="Times New Roman"/>
                <w:sz w:val="28"/>
                <w:szCs w:val="28"/>
              </w:rPr>
              <w:t>宜选择与流通加工需求相匹配的加工设备，包含包装机、贴标机等。</w:t>
            </w:r>
          </w:p>
        </w:tc>
        <w:tc>
          <w:tcPr>
            <w:tcW w:w="2268" w:type="dxa"/>
            <w:vMerge w:val="continue"/>
            <w:vAlign w:val="center"/>
          </w:tcPr>
          <w:p w14:paraId="1118B028">
            <w:pPr>
              <w:pStyle w:val="18"/>
              <w:adjustRightInd w:val="0"/>
              <w:snapToGrid w:val="0"/>
              <w:ind w:firstLine="0" w:firstLineChars="0"/>
              <w:rPr>
                <w:rFonts w:ascii="Times New Roman"/>
                <w:sz w:val="28"/>
                <w:szCs w:val="28"/>
              </w:rPr>
            </w:pPr>
          </w:p>
        </w:tc>
      </w:tr>
      <w:tr w14:paraId="3E0F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2C488767">
            <w:pPr>
              <w:jc w:val="center"/>
              <w:rPr>
                <w:rFonts w:ascii="Times New Roman" w:hAnsi="Times New Roman"/>
                <w:sz w:val="28"/>
                <w:szCs w:val="28"/>
              </w:rPr>
            </w:pPr>
          </w:p>
        </w:tc>
        <w:tc>
          <w:tcPr>
            <w:tcW w:w="706" w:type="dxa"/>
            <w:vAlign w:val="center"/>
          </w:tcPr>
          <w:p w14:paraId="757F3F46">
            <w:pPr>
              <w:jc w:val="center"/>
              <w:rPr>
                <w:rFonts w:ascii="Times New Roman" w:hAnsi="Times New Roman"/>
                <w:sz w:val="28"/>
                <w:szCs w:val="28"/>
              </w:rPr>
            </w:pPr>
            <w:r>
              <w:rPr>
                <w:rFonts w:hint="eastAsia" w:ascii="Times New Roman" w:hAnsi="Times New Roman"/>
                <w:sz w:val="28"/>
                <w:szCs w:val="28"/>
              </w:rPr>
              <w:t>10.6物流容器</w:t>
            </w:r>
          </w:p>
        </w:tc>
        <w:tc>
          <w:tcPr>
            <w:tcW w:w="3046" w:type="dxa"/>
            <w:vAlign w:val="center"/>
          </w:tcPr>
          <w:p w14:paraId="2DAB5DDC">
            <w:pPr>
              <w:pStyle w:val="18"/>
              <w:adjustRightInd w:val="0"/>
              <w:snapToGrid w:val="0"/>
              <w:ind w:firstLine="0" w:firstLineChars="0"/>
              <w:rPr>
                <w:rFonts w:ascii="Times New Roman"/>
                <w:sz w:val="28"/>
                <w:szCs w:val="28"/>
              </w:rPr>
            </w:pPr>
            <w:r>
              <w:rPr>
                <w:rFonts w:hint="eastAsia" w:ascii="Times New Roman"/>
                <w:sz w:val="28"/>
                <w:szCs w:val="28"/>
              </w:rPr>
              <w:t>宜选用与食品相匹配、符合国家标准尺寸、质量、包装模数的物流容器，包括但不限于保温箱、周转箱（筐）、托盘、笼车。</w:t>
            </w:r>
          </w:p>
        </w:tc>
        <w:tc>
          <w:tcPr>
            <w:tcW w:w="2410" w:type="dxa"/>
            <w:vAlign w:val="center"/>
          </w:tcPr>
          <w:p w14:paraId="223C9D76">
            <w:pPr>
              <w:pStyle w:val="18"/>
              <w:adjustRightInd w:val="0"/>
              <w:snapToGrid w:val="0"/>
              <w:ind w:firstLine="0" w:firstLineChars="0"/>
              <w:rPr>
                <w:rFonts w:ascii="Times New Roman"/>
                <w:sz w:val="28"/>
                <w:szCs w:val="28"/>
              </w:rPr>
            </w:pPr>
            <w:r>
              <w:rPr>
                <w:rFonts w:hint="eastAsia" w:ascii="Times New Roman"/>
                <w:sz w:val="28"/>
                <w:szCs w:val="28"/>
              </w:rPr>
              <w:t>宜选用与食品相匹配、符合国家标准尺寸、质量、包装模数的物流容器，包含保温箱、周转箱（筐）和托盘等。</w:t>
            </w:r>
          </w:p>
        </w:tc>
        <w:tc>
          <w:tcPr>
            <w:tcW w:w="2268" w:type="dxa"/>
            <w:vMerge w:val="continue"/>
            <w:vAlign w:val="center"/>
          </w:tcPr>
          <w:p w14:paraId="0A7177DC">
            <w:pPr>
              <w:pStyle w:val="18"/>
              <w:adjustRightInd w:val="0"/>
              <w:snapToGrid w:val="0"/>
              <w:ind w:firstLine="0" w:firstLineChars="0"/>
              <w:rPr>
                <w:rFonts w:ascii="Times New Roman"/>
                <w:sz w:val="28"/>
                <w:szCs w:val="28"/>
              </w:rPr>
            </w:pPr>
          </w:p>
        </w:tc>
      </w:tr>
      <w:tr w14:paraId="1A00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4F3B8FB5">
            <w:pPr>
              <w:jc w:val="center"/>
              <w:rPr>
                <w:rFonts w:ascii="Times New Roman" w:hAnsi="Times New Roman"/>
                <w:sz w:val="28"/>
                <w:szCs w:val="28"/>
              </w:rPr>
            </w:pPr>
          </w:p>
        </w:tc>
        <w:tc>
          <w:tcPr>
            <w:tcW w:w="706" w:type="dxa"/>
            <w:vAlign w:val="center"/>
          </w:tcPr>
          <w:p w14:paraId="3B04EBB2">
            <w:pPr>
              <w:jc w:val="center"/>
              <w:rPr>
                <w:rFonts w:ascii="Times New Roman" w:hAnsi="Times New Roman"/>
                <w:sz w:val="28"/>
                <w:szCs w:val="28"/>
              </w:rPr>
            </w:pPr>
            <w:r>
              <w:rPr>
                <w:rFonts w:hint="eastAsia" w:ascii="Times New Roman" w:hAnsi="Times New Roman"/>
                <w:sz w:val="28"/>
                <w:szCs w:val="28"/>
              </w:rPr>
              <w:t>10.7检测设备</w:t>
            </w:r>
          </w:p>
        </w:tc>
        <w:tc>
          <w:tcPr>
            <w:tcW w:w="3046" w:type="dxa"/>
            <w:vAlign w:val="center"/>
          </w:tcPr>
          <w:p w14:paraId="46D2D671">
            <w:pPr>
              <w:pStyle w:val="18"/>
              <w:adjustRightInd w:val="0"/>
              <w:snapToGrid w:val="0"/>
              <w:ind w:firstLine="0" w:firstLineChars="0"/>
              <w:rPr>
                <w:rFonts w:ascii="Times New Roman"/>
                <w:sz w:val="28"/>
                <w:szCs w:val="28"/>
              </w:rPr>
            </w:pPr>
            <w:r>
              <w:rPr>
                <w:rFonts w:hint="eastAsia" w:ascii="Times New Roman"/>
                <w:sz w:val="28"/>
                <w:szCs w:val="28"/>
              </w:rPr>
              <w:t>食品卫生检测设备的配备执行GB 14881和GB 31621的规定。</w:t>
            </w:r>
          </w:p>
        </w:tc>
        <w:tc>
          <w:tcPr>
            <w:tcW w:w="2410" w:type="dxa"/>
            <w:vAlign w:val="center"/>
          </w:tcPr>
          <w:p w14:paraId="21799188">
            <w:pPr>
              <w:pStyle w:val="18"/>
              <w:adjustRightInd w:val="0"/>
              <w:snapToGrid w:val="0"/>
              <w:ind w:firstLine="0" w:firstLineChars="0"/>
              <w:rPr>
                <w:rFonts w:ascii="Times New Roman"/>
                <w:sz w:val="28"/>
                <w:szCs w:val="28"/>
              </w:rPr>
            </w:pPr>
            <w:r>
              <w:rPr>
                <w:rFonts w:hint="eastAsia" w:ascii="Times New Roman"/>
                <w:sz w:val="28"/>
                <w:szCs w:val="28"/>
              </w:rPr>
              <w:t>食品卫生检查检测设备的配备宜按GB 14881、GB 31621的要求进行。</w:t>
            </w:r>
          </w:p>
        </w:tc>
        <w:tc>
          <w:tcPr>
            <w:tcW w:w="2268" w:type="dxa"/>
            <w:vMerge w:val="continue"/>
            <w:vAlign w:val="center"/>
          </w:tcPr>
          <w:p w14:paraId="4FD0D823">
            <w:pPr>
              <w:pStyle w:val="18"/>
              <w:adjustRightInd w:val="0"/>
              <w:snapToGrid w:val="0"/>
              <w:ind w:firstLine="0" w:firstLineChars="0"/>
              <w:rPr>
                <w:rFonts w:ascii="Times New Roman"/>
                <w:sz w:val="28"/>
                <w:szCs w:val="28"/>
              </w:rPr>
            </w:pPr>
          </w:p>
        </w:tc>
      </w:tr>
      <w:tr w14:paraId="0A14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212F7AD9">
            <w:pPr>
              <w:jc w:val="center"/>
              <w:rPr>
                <w:rFonts w:ascii="Times New Roman" w:hAnsi="Times New Roman"/>
                <w:sz w:val="28"/>
                <w:szCs w:val="28"/>
              </w:rPr>
            </w:pPr>
          </w:p>
        </w:tc>
        <w:tc>
          <w:tcPr>
            <w:tcW w:w="706" w:type="dxa"/>
            <w:vAlign w:val="center"/>
          </w:tcPr>
          <w:p w14:paraId="3588A13D">
            <w:pPr>
              <w:jc w:val="center"/>
              <w:rPr>
                <w:rFonts w:ascii="Times New Roman" w:hAnsi="Times New Roman"/>
                <w:sz w:val="28"/>
                <w:szCs w:val="28"/>
              </w:rPr>
            </w:pPr>
            <w:r>
              <w:rPr>
                <w:rFonts w:hint="eastAsia" w:ascii="Times New Roman" w:hAnsi="Times New Roman"/>
                <w:sz w:val="28"/>
                <w:szCs w:val="28"/>
              </w:rPr>
              <w:t>10.8网络及信息化设备</w:t>
            </w:r>
          </w:p>
        </w:tc>
        <w:tc>
          <w:tcPr>
            <w:tcW w:w="3046" w:type="dxa"/>
            <w:vAlign w:val="center"/>
          </w:tcPr>
          <w:p w14:paraId="559E62CC">
            <w:pPr>
              <w:pStyle w:val="18"/>
              <w:adjustRightInd w:val="0"/>
              <w:snapToGrid w:val="0"/>
              <w:ind w:firstLine="0" w:firstLineChars="0"/>
              <w:rPr>
                <w:rFonts w:ascii="Times New Roman"/>
                <w:sz w:val="28"/>
                <w:szCs w:val="28"/>
              </w:rPr>
            </w:pPr>
            <w:r>
              <w:rPr>
                <w:rFonts w:hint="eastAsia" w:ascii="Times New Roman"/>
                <w:sz w:val="28"/>
                <w:szCs w:val="28"/>
              </w:rPr>
              <w:t>结合作业要求，宜搭建库内网络设备，并进行合理布点实现作业区域全覆盖，配备相应的信息采集设备与后端的信息化系统相连接。</w:t>
            </w:r>
          </w:p>
        </w:tc>
        <w:tc>
          <w:tcPr>
            <w:tcW w:w="2410" w:type="dxa"/>
            <w:vAlign w:val="center"/>
          </w:tcPr>
          <w:p w14:paraId="38410A72">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Align w:val="center"/>
          </w:tcPr>
          <w:p w14:paraId="323A8531">
            <w:pPr>
              <w:pStyle w:val="18"/>
              <w:adjustRightInd w:val="0"/>
              <w:snapToGrid w:val="0"/>
              <w:ind w:firstLine="0" w:firstLineChars="0"/>
              <w:rPr>
                <w:rFonts w:ascii="Times New Roman"/>
                <w:sz w:val="28"/>
                <w:szCs w:val="28"/>
              </w:rPr>
            </w:pPr>
            <w:r>
              <w:rPr>
                <w:rFonts w:hint="eastAsia" w:ascii="Times New Roman"/>
                <w:sz w:val="28"/>
                <w:szCs w:val="28"/>
              </w:rPr>
              <w:t>增加了网络及信息化设备的内容（见10.8）。增加库内网络设备合理布点、作业区域网络覆盖、信息采集设备与后端信息系统连接等内容，以支持仓储、运输、订单、车辆、人员、温控和自动化设备的协同运行。</w:t>
            </w:r>
          </w:p>
        </w:tc>
      </w:tr>
      <w:tr w14:paraId="6035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4D43FD83">
            <w:pPr>
              <w:jc w:val="center"/>
              <w:rPr>
                <w:rFonts w:ascii="Times New Roman" w:hAnsi="Times New Roman"/>
                <w:sz w:val="28"/>
                <w:szCs w:val="28"/>
              </w:rPr>
            </w:pPr>
            <w:r>
              <w:rPr>
                <w:rFonts w:hint="eastAsia" w:ascii="Times New Roman" w:hAnsi="Times New Roman"/>
                <w:sz w:val="28"/>
                <w:szCs w:val="28"/>
              </w:rPr>
              <w:t>11能源与节能环保</w:t>
            </w:r>
          </w:p>
        </w:tc>
        <w:tc>
          <w:tcPr>
            <w:tcW w:w="706" w:type="dxa"/>
            <w:vAlign w:val="center"/>
          </w:tcPr>
          <w:p w14:paraId="44616939">
            <w:pPr>
              <w:jc w:val="center"/>
              <w:rPr>
                <w:rFonts w:ascii="Times New Roman" w:hAnsi="Times New Roman"/>
                <w:sz w:val="28"/>
                <w:szCs w:val="28"/>
              </w:rPr>
            </w:pPr>
            <w:r>
              <w:rPr>
                <w:rFonts w:hint="eastAsia" w:ascii="Times New Roman" w:hAnsi="Times New Roman"/>
                <w:sz w:val="28"/>
                <w:szCs w:val="28"/>
              </w:rPr>
              <w:t>11.1</w:t>
            </w:r>
          </w:p>
        </w:tc>
        <w:tc>
          <w:tcPr>
            <w:tcW w:w="3046" w:type="dxa"/>
            <w:vAlign w:val="center"/>
          </w:tcPr>
          <w:p w14:paraId="680E995B">
            <w:pPr>
              <w:pStyle w:val="18"/>
              <w:adjustRightInd w:val="0"/>
              <w:snapToGrid w:val="0"/>
              <w:ind w:firstLine="0" w:firstLineChars="0"/>
              <w:rPr>
                <w:rFonts w:ascii="Times New Roman"/>
                <w:sz w:val="28"/>
                <w:szCs w:val="28"/>
              </w:rPr>
            </w:pPr>
            <w:r>
              <w:rPr>
                <w:rFonts w:hint="eastAsia" w:ascii="Times New Roman"/>
                <w:sz w:val="28"/>
                <w:szCs w:val="28"/>
              </w:rPr>
              <w:t>食品低温配送中心宜结合各功能区用能特征、冷负荷变化及业务峰谷规律，统筹规划供配电、制冷、给排水等能源系统，并预留设备扩容和能源接入条件；具备条件时，宜配置备用电源或储能设施，提高能源系统的可靠性和应急保障能力。</w:t>
            </w:r>
          </w:p>
        </w:tc>
        <w:tc>
          <w:tcPr>
            <w:tcW w:w="2410" w:type="dxa"/>
            <w:vMerge w:val="restart"/>
            <w:vAlign w:val="center"/>
          </w:tcPr>
          <w:p w14:paraId="131E163F">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restart"/>
            <w:vAlign w:val="center"/>
          </w:tcPr>
          <w:p w14:paraId="04482EBB">
            <w:pPr>
              <w:pStyle w:val="18"/>
              <w:adjustRightInd w:val="0"/>
              <w:snapToGrid w:val="0"/>
              <w:ind w:firstLine="0" w:firstLineChars="0"/>
              <w:rPr>
                <w:rFonts w:ascii="Times New Roman"/>
                <w:sz w:val="28"/>
                <w:szCs w:val="28"/>
              </w:rPr>
            </w:pPr>
            <w:r>
              <w:rPr>
                <w:rFonts w:hint="eastAsia" w:ascii="Times New Roman"/>
                <w:sz w:val="28"/>
                <w:szCs w:val="28"/>
              </w:rPr>
              <w:t>增加了能源与节能环保的内容（见第11章）。增加供配电、制冷、给排水、储能和新能源接入的统筹规划内容，增加分布式太阳能发电、电力储能、分区分项计量、智慧能源管理、高效制冷、变频制冷、热回收、地源热泵、快速门与空气幕联动控制等节能措施，并增加绿色制冷剂、制冷剂泄漏监测与回收、废弃物分类管理、循环物流容器和绿色包装等环保内容。</w:t>
            </w:r>
          </w:p>
        </w:tc>
      </w:tr>
      <w:tr w14:paraId="6E5C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7B9B70D9">
            <w:pPr>
              <w:jc w:val="center"/>
              <w:rPr>
                <w:rFonts w:ascii="Times New Roman" w:hAnsi="Times New Roman"/>
                <w:sz w:val="28"/>
                <w:szCs w:val="28"/>
              </w:rPr>
            </w:pPr>
          </w:p>
        </w:tc>
        <w:tc>
          <w:tcPr>
            <w:tcW w:w="706" w:type="dxa"/>
            <w:vAlign w:val="center"/>
          </w:tcPr>
          <w:p w14:paraId="154540E0">
            <w:pPr>
              <w:jc w:val="center"/>
              <w:rPr>
                <w:rFonts w:ascii="Times New Roman" w:hAnsi="Times New Roman"/>
                <w:sz w:val="28"/>
                <w:szCs w:val="28"/>
              </w:rPr>
            </w:pPr>
            <w:r>
              <w:rPr>
                <w:rFonts w:hint="eastAsia" w:ascii="Times New Roman" w:hAnsi="Times New Roman"/>
                <w:sz w:val="28"/>
                <w:szCs w:val="28"/>
              </w:rPr>
              <w:t>11.2</w:t>
            </w:r>
          </w:p>
        </w:tc>
        <w:tc>
          <w:tcPr>
            <w:tcW w:w="3046" w:type="dxa"/>
            <w:vAlign w:val="center"/>
          </w:tcPr>
          <w:p w14:paraId="1CD69796">
            <w:pPr>
              <w:pStyle w:val="18"/>
              <w:adjustRightInd w:val="0"/>
              <w:snapToGrid w:val="0"/>
              <w:ind w:firstLine="0" w:firstLineChars="0"/>
              <w:rPr>
                <w:rFonts w:ascii="Times New Roman"/>
                <w:sz w:val="28"/>
                <w:szCs w:val="28"/>
              </w:rPr>
            </w:pPr>
            <w:r>
              <w:rPr>
                <w:rFonts w:hint="eastAsia" w:ascii="Times New Roman"/>
                <w:sz w:val="28"/>
                <w:szCs w:val="28"/>
              </w:rPr>
              <w:t>宜根据屋面条件、当地日照资源及并网条件，合理采用分布式太阳能发电；具备条件时，宜配置电力储能设施，提高削峰填谷、新能源消纳和应急保供能力。</w:t>
            </w:r>
          </w:p>
        </w:tc>
        <w:tc>
          <w:tcPr>
            <w:tcW w:w="2410" w:type="dxa"/>
            <w:vMerge w:val="continue"/>
            <w:vAlign w:val="center"/>
          </w:tcPr>
          <w:p w14:paraId="6F821088">
            <w:pPr>
              <w:pStyle w:val="18"/>
              <w:adjustRightInd w:val="0"/>
              <w:snapToGrid w:val="0"/>
              <w:ind w:firstLine="0" w:firstLineChars="0"/>
              <w:rPr>
                <w:rFonts w:ascii="Times New Roman"/>
                <w:sz w:val="28"/>
                <w:szCs w:val="28"/>
              </w:rPr>
            </w:pPr>
          </w:p>
        </w:tc>
        <w:tc>
          <w:tcPr>
            <w:tcW w:w="2268" w:type="dxa"/>
            <w:vMerge w:val="continue"/>
            <w:vAlign w:val="center"/>
          </w:tcPr>
          <w:p w14:paraId="6BC136B4">
            <w:pPr>
              <w:pStyle w:val="18"/>
              <w:adjustRightInd w:val="0"/>
              <w:snapToGrid w:val="0"/>
              <w:ind w:firstLine="0" w:firstLineChars="0"/>
              <w:rPr>
                <w:rFonts w:ascii="Times New Roman"/>
                <w:sz w:val="28"/>
                <w:szCs w:val="28"/>
              </w:rPr>
            </w:pPr>
          </w:p>
        </w:tc>
      </w:tr>
      <w:tr w14:paraId="56AA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C3FACDE">
            <w:pPr>
              <w:jc w:val="center"/>
              <w:rPr>
                <w:rFonts w:ascii="Times New Roman" w:hAnsi="Times New Roman"/>
                <w:sz w:val="28"/>
                <w:szCs w:val="28"/>
              </w:rPr>
            </w:pPr>
          </w:p>
        </w:tc>
        <w:tc>
          <w:tcPr>
            <w:tcW w:w="706" w:type="dxa"/>
            <w:vAlign w:val="center"/>
          </w:tcPr>
          <w:p w14:paraId="61D7AB45">
            <w:pPr>
              <w:jc w:val="center"/>
              <w:rPr>
                <w:rFonts w:ascii="Times New Roman" w:hAnsi="Times New Roman"/>
                <w:sz w:val="28"/>
                <w:szCs w:val="28"/>
              </w:rPr>
            </w:pPr>
            <w:r>
              <w:rPr>
                <w:rFonts w:hint="eastAsia" w:ascii="Times New Roman" w:hAnsi="Times New Roman"/>
                <w:sz w:val="28"/>
                <w:szCs w:val="28"/>
              </w:rPr>
              <w:t>11.3</w:t>
            </w:r>
          </w:p>
        </w:tc>
        <w:tc>
          <w:tcPr>
            <w:tcW w:w="3046" w:type="dxa"/>
            <w:vAlign w:val="center"/>
          </w:tcPr>
          <w:p w14:paraId="29D26231">
            <w:pPr>
              <w:pStyle w:val="18"/>
              <w:adjustRightInd w:val="0"/>
              <w:snapToGrid w:val="0"/>
              <w:ind w:firstLine="0" w:firstLineChars="0"/>
              <w:rPr>
                <w:rFonts w:ascii="Times New Roman"/>
                <w:sz w:val="28"/>
                <w:szCs w:val="28"/>
              </w:rPr>
            </w:pPr>
            <w:r>
              <w:rPr>
                <w:rFonts w:hint="eastAsia" w:ascii="Times New Roman"/>
                <w:sz w:val="28"/>
                <w:szCs w:val="28"/>
              </w:rPr>
              <w:t>宜建立能源管理体系，对电、水、气等能源资源实行分区、分项计量和动态监测，并与制冷、照明、充电及信息化系统协同管理；宜采用智慧节能管理系统，对主要用能设备进行能耗分析、运行优化和维护管理。</w:t>
            </w:r>
          </w:p>
        </w:tc>
        <w:tc>
          <w:tcPr>
            <w:tcW w:w="2410" w:type="dxa"/>
            <w:vMerge w:val="continue"/>
            <w:vAlign w:val="center"/>
          </w:tcPr>
          <w:p w14:paraId="070DA967">
            <w:pPr>
              <w:pStyle w:val="18"/>
              <w:adjustRightInd w:val="0"/>
              <w:snapToGrid w:val="0"/>
              <w:ind w:firstLine="0" w:firstLineChars="0"/>
              <w:rPr>
                <w:rFonts w:ascii="Times New Roman"/>
                <w:sz w:val="28"/>
                <w:szCs w:val="28"/>
              </w:rPr>
            </w:pPr>
          </w:p>
        </w:tc>
        <w:tc>
          <w:tcPr>
            <w:tcW w:w="2268" w:type="dxa"/>
            <w:vMerge w:val="continue"/>
            <w:vAlign w:val="center"/>
          </w:tcPr>
          <w:p w14:paraId="32287F5A">
            <w:pPr>
              <w:pStyle w:val="18"/>
              <w:adjustRightInd w:val="0"/>
              <w:snapToGrid w:val="0"/>
              <w:ind w:firstLine="0" w:firstLineChars="0"/>
              <w:rPr>
                <w:rFonts w:ascii="Times New Roman"/>
                <w:sz w:val="28"/>
                <w:szCs w:val="28"/>
              </w:rPr>
            </w:pPr>
          </w:p>
        </w:tc>
      </w:tr>
      <w:tr w14:paraId="2BB7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57B2923">
            <w:pPr>
              <w:jc w:val="center"/>
              <w:rPr>
                <w:rFonts w:ascii="Times New Roman" w:hAnsi="Times New Roman"/>
                <w:sz w:val="28"/>
                <w:szCs w:val="28"/>
              </w:rPr>
            </w:pPr>
          </w:p>
        </w:tc>
        <w:tc>
          <w:tcPr>
            <w:tcW w:w="706" w:type="dxa"/>
            <w:vAlign w:val="center"/>
          </w:tcPr>
          <w:p w14:paraId="40E613F5">
            <w:pPr>
              <w:jc w:val="center"/>
              <w:rPr>
                <w:rFonts w:ascii="Times New Roman" w:hAnsi="Times New Roman"/>
                <w:sz w:val="28"/>
                <w:szCs w:val="28"/>
              </w:rPr>
            </w:pPr>
            <w:r>
              <w:rPr>
                <w:rFonts w:hint="eastAsia" w:ascii="Times New Roman" w:hAnsi="Times New Roman"/>
                <w:sz w:val="28"/>
                <w:szCs w:val="28"/>
              </w:rPr>
              <w:t>11.4</w:t>
            </w:r>
          </w:p>
        </w:tc>
        <w:tc>
          <w:tcPr>
            <w:tcW w:w="3046" w:type="dxa"/>
            <w:vAlign w:val="center"/>
          </w:tcPr>
          <w:p w14:paraId="55987B97">
            <w:pPr>
              <w:pStyle w:val="18"/>
              <w:adjustRightInd w:val="0"/>
              <w:snapToGrid w:val="0"/>
              <w:ind w:firstLine="0" w:firstLineChars="0"/>
              <w:rPr>
                <w:rFonts w:ascii="Times New Roman"/>
                <w:sz w:val="28"/>
                <w:szCs w:val="28"/>
              </w:rPr>
            </w:pPr>
            <w:r>
              <w:rPr>
                <w:rFonts w:hint="eastAsia" w:ascii="Times New Roman"/>
                <w:sz w:val="28"/>
                <w:szCs w:val="28"/>
              </w:rPr>
              <w:t>宜采用保温隔热性能良好的围护结构、冷库门和门封，并根据冷负荷变化选用高效制冷设备、变频制冷机组、热回收、地源热泵等节能技术；快速门、空气幕、照明及门区设施宜实施联动控制，并合理设置温湿度监测、自动调节和异常报警功能。</w:t>
            </w:r>
          </w:p>
        </w:tc>
        <w:tc>
          <w:tcPr>
            <w:tcW w:w="2410" w:type="dxa"/>
            <w:vMerge w:val="continue"/>
            <w:vAlign w:val="center"/>
          </w:tcPr>
          <w:p w14:paraId="55CA24AC">
            <w:pPr>
              <w:pStyle w:val="18"/>
              <w:adjustRightInd w:val="0"/>
              <w:snapToGrid w:val="0"/>
              <w:ind w:firstLine="0" w:firstLineChars="0"/>
              <w:rPr>
                <w:rFonts w:ascii="Times New Roman"/>
                <w:sz w:val="28"/>
                <w:szCs w:val="28"/>
              </w:rPr>
            </w:pPr>
          </w:p>
        </w:tc>
        <w:tc>
          <w:tcPr>
            <w:tcW w:w="2268" w:type="dxa"/>
            <w:vMerge w:val="continue"/>
            <w:vAlign w:val="center"/>
          </w:tcPr>
          <w:p w14:paraId="46EDCC00">
            <w:pPr>
              <w:pStyle w:val="18"/>
              <w:adjustRightInd w:val="0"/>
              <w:snapToGrid w:val="0"/>
              <w:ind w:firstLine="0" w:firstLineChars="0"/>
              <w:rPr>
                <w:rFonts w:ascii="Times New Roman"/>
                <w:sz w:val="28"/>
                <w:szCs w:val="28"/>
              </w:rPr>
            </w:pPr>
          </w:p>
        </w:tc>
      </w:tr>
      <w:tr w14:paraId="21EF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4C701E7E">
            <w:pPr>
              <w:jc w:val="center"/>
              <w:rPr>
                <w:rFonts w:ascii="Times New Roman" w:hAnsi="Times New Roman"/>
                <w:sz w:val="28"/>
                <w:szCs w:val="28"/>
              </w:rPr>
            </w:pPr>
          </w:p>
        </w:tc>
        <w:tc>
          <w:tcPr>
            <w:tcW w:w="706" w:type="dxa"/>
            <w:vAlign w:val="center"/>
          </w:tcPr>
          <w:p w14:paraId="044E994D">
            <w:pPr>
              <w:jc w:val="center"/>
              <w:rPr>
                <w:rFonts w:ascii="Times New Roman" w:hAnsi="Times New Roman"/>
                <w:sz w:val="28"/>
                <w:szCs w:val="28"/>
              </w:rPr>
            </w:pPr>
            <w:r>
              <w:rPr>
                <w:rFonts w:hint="eastAsia" w:ascii="Times New Roman" w:hAnsi="Times New Roman"/>
                <w:sz w:val="28"/>
                <w:szCs w:val="28"/>
              </w:rPr>
              <w:t>11.5</w:t>
            </w:r>
          </w:p>
        </w:tc>
        <w:tc>
          <w:tcPr>
            <w:tcW w:w="3046" w:type="dxa"/>
            <w:vAlign w:val="center"/>
          </w:tcPr>
          <w:p w14:paraId="565BC410">
            <w:pPr>
              <w:pStyle w:val="18"/>
              <w:adjustRightInd w:val="0"/>
              <w:snapToGrid w:val="0"/>
              <w:ind w:firstLine="0" w:firstLineChars="0"/>
              <w:rPr>
                <w:rFonts w:ascii="Times New Roman"/>
                <w:sz w:val="28"/>
                <w:szCs w:val="28"/>
              </w:rPr>
            </w:pPr>
            <w:r>
              <w:rPr>
                <w:rFonts w:hint="eastAsia" w:ascii="Times New Roman"/>
                <w:sz w:val="28"/>
                <w:szCs w:val="28"/>
              </w:rPr>
              <w:t>宜选用对环境影响较小的制冷剂、制冷工艺和设备，并采取制冷剂泄漏监测、回收及规范处置等措施；合理设置废弃物收集、分类、暂存和清运场所，采用可循环使用、可再利用或易回收的物流容器和包装材料，减少一次性包装材料使用，并针对设备故障、自然灾害和食品质量问题等情形制定环境风险应急处置措施。</w:t>
            </w:r>
          </w:p>
        </w:tc>
        <w:tc>
          <w:tcPr>
            <w:tcW w:w="2410" w:type="dxa"/>
            <w:vMerge w:val="continue"/>
            <w:vAlign w:val="center"/>
          </w:tcPr>
          <w:p w14:paraId="197D7048">
            <w:pPr>
              <w:pStyle w:val="18"/>
              <w:adjustRightInd w:val="0"/>
              <w:snapToGrid w:val="0"/>
              <w:ind w:firstLine="0" w:firstLineChars="0"/>
              <w:rPr>
                <w:rFonts w:ascii="Times New Roman"/>
                <w:sz w:val="28"/>
                <w:szCs w:val="28"/>
              </w:rPr>
            </w:pPr>
          </w:p>
        </w:tc>
        <w:tc>
          <w:tcPr>
            <w:tcW w:w="2268" w:type="dxa"/>
            <w:vMerge w:val="continue"/>
            <w:vAlign w:val="center"/>
          </w:tcPr>
          <w:p w14:paraId="7C494528">
            <w:pPr>
              <w:pStyle w:val="18"/>
              <w:adjustRightInd w:val="0"/>
              <w:snapToGrid w:val="0"/>
              <w:ind w:firstLine="0" w:firstLineChars="0"/>
              <w:rPr>
                <w:rFonts w:ascii="Times New Roman"/>
                <w:sz w:val="28"/>
                <w:szCs w:val="28"/>
              </w:rPr>
            </w:pPr>
          </w:p>
        </w:tc>
      </w:tr>
      <w:tr w14:paraId="0D78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7540038C">
            <w:pPr>
              <w:jc w:val="center"/>
              <w:rPr>
                <w:rFonts w:ascii="Times New Roman" w:hAnsi="Times New Roman"/>
                <w:sz w:val="28"/>
                <w:szCs w:val="28"/>
              </w:rPr>
            </w:pPr>
            <w:r>
              <w:rPr>
                <w:rFonts w:hint="eastAsia" w:ascii="Times New Roman" w:hAnsi="Times New Roman"/>
                <w:sz w:val="28"/>
                <w:szCs w:val="28"/>
              </w:rPr>
              <w:t>12安全与卫生</w:t>
            </w:r>
          </w:p>
        </w:tc>
        <w:tc>
          <w:tcPr>
            <w:tcW w:w="706" w:type="dxa"/>
            <w:vAlign w:val="center"/>
          </w:tcPr>
          <w:p w14:paraId="33D503D4">
            <w:pPr>
              <w:pStyle w:val="20"/>
              <w:numPr>
                <w:ilvl w:val="0"/>
                <w:numId w:val="3"/>
              </w:numPr>
              <w:ind w:firstLineChars="0"/>
              <w:jc w:val="center"/>
              <w:rPr>
                <w:rFonts w:ascii="Times New Roman" w:hAnsi="Times New Roman"/>
                <w:sz w:val="28"/>
                <w:szCs w:val="28"/>
              </w:rPr>
            </w:pPr>
          </w:p>
        </w:tc>
        <w:tc>
          <w:tcPr>
            <w:tcW w:w="3046" w:type="dxa"/>
            <w:vAlign w:val="center"/>
          </w:tcPr>
          <w:p w14:paraId="0E009A22">
            <w:pPr>
              <w:pStyle w:val="18"/>
              <w:adjustRightInd w:val="0"/>
              <w:snapToGrid w:val="0"/>
              <w:ind w:firstLine="0" w:firstLineChars="0"/>
              <w:rPr>
                <w:rFonts w:ascii="Times New Roman"/>
                <w:sz w:val="28"/>
                <w:szCs w:val="28"/>
              </w:rPr>
            </w:pPr>
            <w:r>
              <w:rPr>
                <w:rFonts w:hint="eastAsia" w:ascii="Times New Roman"/>
                <w:sz w:val="28"/>
                <w:szCs w:val="28"/>
              </w:rPr>
              <w:t>低温配送中心宜根据冷负荷、业务连续性和食品安全风险，配置与需要相适应的双回路供电、备用电源或应急供电设施，并宜设置必要的制冷系统冗余。</w:t>
            </w:r>
          </w:p>
        </w:tc>
        <w:tc>
          <w:tcPr>
            <w:tcW w:w="2410" w:type="dxa"/>
            <w:vMerge w:val="restart"/>
            <w:vAlign w:val="center"/>
          </w:tcPr>
          <w:p w14:paraId="4825D415">
            <w:pPr>
              <w:pStyle w:val="18"/>
              <w:adjustRightInd w:val="0"/>
              <w:snapToGrid w:val="0"/>
              <w:ind w:firstLine="0" w:firstLineChars="0"/>
              <w:jc w:val="center"/>
              <w:rPr>
                <w:rFonts w:ascii="Times New Roman"/>
                <w:sz w:val="28"/>
                <w:szCs w:val="28"/>
              </w:rPr>
            </w:pPr>
            <w:r>
              <w:rPr>
                <w:rFonts w:hint="eastAsia" w:ascii="Times New Roman"/>
                <w:sz w:val="28"/>
                <w:szCs w:val="28"/>
              </w:rPr>
              <w:t>/</w:t>
            </w:r>
          </w:p>
        </w:tc>
        <w:tc>
          <w:tcPr>
            <w:tcW w:w="2268" w:type="dxa"/>
            <w:vMerge w:val="restart"/>
            <w:vAlign w:val="center"/>
          </w:tcPr>
          <w:p w14:paraId="6E45F946">
            <w:pPr>
              <w:pStyle w:val="18"/>
              <w:adjustRightInd w:val="0"/>
              <w:snapToGrid w:val="0"/>
              <w:ind w:firstLine="0" w:firstLineChars="0"/>
              <w:rPr>
                <w:rFonts w:ascii="Times New Roman"/>
                <w:sz w:val="28"/>
                <w:szCs w:val="28"/>
              </w:rPr>
            </w:pPr>
            <w:r>
              <w:rPr>
                <w:rFonts w:hint="eastAsia" w:ascii="Times New Roman"/>
                <w:sz w:val="28"/>
                <w:szCs w:val="28"/>
              </w:rPr>
              <w:t>增加了安全与卫生的内容（见第12章）。增加双回路供电、备用电源、应急供电、制冷系统冗余、安全警示、防滑、防撞、应急照明、应急断电、防困人和消防疏散等内容；增加食品作业区清洁消毒、排水通风、废弃物暂存及防虫、防鼠、防蝇等卫生防护内容。</w:t>
            </w:r>
          </w:p>
        </w:tc>
      </w:tr>
      <w:tr w14:paraId="1A18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747C9D1C">
            <w:pPr>
              <w:jc w:val="center"/>
              <w:rPr>
                <w:rFonts w:ascii="Times New Roman" w:hAnsi="Times New Roman"/>
                <w:sz w:val="28"/>
                <w:szCs w:val="28"/>
              </w:rPr>
            </w:pPr>
          </w:p>
        </w:tc>
        <w:tc>
          <w:tcPr>
            <w:tcW w:w="706" w:type="dxa"/>
            <w:vAlign w:val="center"/>
          </w:tcPr>
          <w:p w14:paraId="6BA4311B">
            <w:pPr>
              <w:pStyle w:val="20"/>
              <w:numPr>
                <w:ilvl w:val="0"/>
                <w:numId w:val="3"/>
              </w:numPr>
              <w:ind w:firstLineChars="0"/>
              <w:jc w:val="center"/>
              <w:rPr>
                <w:rFonts w:ascii="Times New Roman" w:hAnsi="Times New Roman"/>
                <w:sz w:val="28"/>
                <w:szCs w:val="28"/>
              </w:rPr>
            </w:pPr>
          </w:p>
        </w:tc>
        <w:tc>
          <w:tcPr>
            <w:tcW w:w="3046" w:type="dxa"/>
            <w:vAlign w:val="center"/>
          </w:tcPr>
          <w:p w14:paraId="14FCD56B">
            <w:pPr>
              <w:pStyle w:val="18"/>
              <w:adjustRightInd w:val="0"/>
              <w:snapToGrid w:val="0"/>
              <w:ind w:firstLine="0" w:firstLineChars="0"/>
              <w:rPr>
                <w:rFonts w:ascii="Times New Roman"/>
                <w:sz w:val="28"/>
                <w:szCs w:val="28"/>
              </w:rPr>
            </w:pPr>
            <w:r>
              <w:rPr>
                <w:rFonts w:hint="eastAsia" w:ascii="Times New Roman"/>
                <w:sz w:val="28"/>
                <w:szCs w:val="28"/>
              </w:rPr>
              <w:t>需遵循安全生产原则，符合相关防火要求。</w:t>
            </w:r>
          </w:p>
        </w:tc>
        <w:tc>
          <w:tcPr>
            <w:tcW w:w="2410" w:type="dxa"/>
            <w:vMerge w:val="continue"/>
            <w:vAlign w:val="center"/>
          </w:tcPr>
          <w:p w14:paraId="4294200B">
            <w:pPr>
              <w:pStyle w:val="18"/>
              <w:adjustRightInd w:val="0"/>
              <w:snapToGrid w:val="0"/>
              <w:ind w:firstLine="0" w:firstLineChars="0"/>
              <w:rPr>
                <w:rFonts w:ascii="Times New Roman"/>
                <w:sz w:val="28"/>
                <w:szCs w:val="28"/>
              </w:rPr>
            </w:pPr>
          </w:p>
        </w:tc>
        <w:tc>
          <w:tcPr>
            <w:tcW w:w="2268" w:type="dxa"/>
            <w:vMerge w:val="continue"/>
            <w:vAlign w:val="center"/>
          </w:tcPr>
          <w:p w14:paraId="479E2C59">
            <w:pPr>
              <w:pStyle w:val="18"/>
              <w:adjustRightInd w:val="0"/>
              <w:snapToGrid w:val="0"/>
              <w:ind w:firstLine="0" w:firstLineChars="0"/>
              <w:rPr>
                <w:rFonts w:ascii="Times New Roman"/>
                <w:sz w:val="28"/>
                <w:szCs w:val="28"/>
              </w:rPr>
            </w:pPr>
          </w:p>
        </w:tc>
      </w:tr>
      <w:tr w14:paraId="2DF8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2D159DA4">
            <w:pPr>
              <w:jc w:val="center"/>
              <w:rPr>
                <w:rFonts w:ascii="Times New Roman" w:hAnsi="Times New Roman"/>
                <w:sz w:val="28"/>
                <w:szCs w:val="28"/>
              </w:rPr>
            </w:pPr>
          </w:p>
        </w:tc>
        <w:tc>
          <w:tcPr>
            <w:tcW w:w="706" w:type="dxa"/>
            <w:vAlign w:val="center"/>
          </w:tcPr>
          <w:p w14:paraId="314D5CA5">
            <w:pPr>
              <w:pStyle w:val="20"/>
              <w:numPr>
                <w:ilvl w:val="0"/>
                <w:numId w:val="3"/>
              </w:numPr>
              <w:ind w:firstLineChars="0"/>
              <w:jc w:val="center"/>
              <w:rPr>
                <w:rFonts w:ascii="Times New Roman" w:hAnsi="Times New Roman"/>
                <w:sz w:val="28"/>
                <w:szCs w:val="28"/>
              </w:rPr>
            </w:pPr>
          </w:p>
        </w:tc>
        <w:tc>
          <w:tcPr>
            <w:tcW w:w="3046" w:type="dxa"/>
            <w:vAlign w:val="center"/>
          </w:tcPr>
          <w:p w14:paraId="7FE7E507">
            <w:pPr>
              <w:pStyle w:val="18"/>
              <w:adjustRightInd w:val="0"/>
              <w:snapToGrid w:val="0"/>
              <w:ind w:firstLine="0" w:firstLineChars="0"/>
              <w:rPr>
                <w:rFonts w:ascii="Times New Roman"/>
                <w:sz w:val="28"/>
                <w:szCs w:val="28"/>
              </w:rPr>
            </w:pPr>
            <w:r>
              <w:rPr>
                <w:rFonts w:hint="eastAsia" w:ascii="Times New Roman"/>
                <w:sz w:val="28"/>
                <w:szCs w:val="28"/>
              </w:rPr>
              <w:t>冷库、控温站台、制冷机房、充电区等区域宜设置安全警示、防滑、防撞、应急照明、应急断电和防困人等安全设施，消防设计符合相关规定。宜针对停电、制冷故障、火灾、极端天气、食品温度异常等情形制定应急预案，并明确食品隔离、温度监测、设备恢复和信息报告等措施。</w:t>
            </w:r>
          </w:p>
        </w:tc>
        <w:tc>
          <w:tcPr>
            <w:tcW w:w="2410" w:type="dxa"/>
            <w:vMerge w:val="continue"/>
            <w:vAlign w:val="center"/>
          </w:tcPr>
          <w:p w14:paraId="7E4A3B7E">
            <w:pPr>
              <w:pStyle w:val="18"/>
              <w:adjustRightInd w:val="0"/>
              <w:snapToGrid w:val="0"/>
              <w:ind w:firstLine="0" w:firstLineChars="0"/>
              <w:rPr>
                <w:rFonts w:ascii="Times New Roman"/>
                <w:sz w:val="28"/>
                <w:szCs w:val="28"/>
              </w:rPr>
            </w:pPr>
          </w:p>
        </w:tc>
        <w:tc>
          <w:tcPr>
            <w:tcW w:w="2268" w:type="dxa"/>
            <w:vMerge w:val="continue"/>
            <w:vAlign w:val="center"/>
          </w:tcPr>
          <w:p w14:paraId="00D95E04">
            <w:pPr>
              <w:pStyle w:val="18"/>
              <w:adjustRightInd w:val="0"/>
              <w:snapToGrid w:val="0"/>
              <w:ind w:firstLine="0" w:firstLineChars="0"/>
              <w:rPr>
                <w:rFonts w:ascii="Times New Roman"/>
                <w:sz w:val="28"/>
                <w:szCs w:val="28"/>
              </w:rPr>
            </w:pPr>
          </w:p>
        </w:tc>
      </w:tr>
      <w:tr w14:paraId="44C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31A28C03">
            <w:pPr>
              <w:jc w:val="center"/>
              <w:rPr>
                <w:rFonts w:ascii="Times New Roman" w:hAnsi="Times New Roman"/>
                <w:sz w:val="28"/>
                <w:szCs w:val="28"/>
              </w:rPr>
            </w:pPr>
          </w:p>
        </w:tc>
        <w:tc>
          <w:tcPr>
            <w:tcW w:w="706" w:type="dxa"/>
            <w:vAlign w:val="center"/>
          </w:tcPr>
          <w:p w14:paraId="43E21928">
            <w:pPr>
              <w:pStyle w:val="20"/>
              <w:numPr>
                <w:ilvl w:val="0"/>
                <w:numId w:val="3"/>
              </w:numPr>
              <w:ind w:firstLineChars="0"/>
              <w:jc w:val="center"/>
              <w:rPr>
                <w:rFonts w:ascii="Times New Roman" w:hAnsi="Times New Roman"/>
                <w:sz w:val="28"/>
                <w:szCs w:val="28"/>
              </w:rPr>
            </w:pPr>
          </w:p>
        </w:tc>
        <w:tc>
          <w:tcPr>
            <w:tcW w:w="3046" w:type="dxa"/>
            <w:vAlign w:val="center"/>
          </w:tcPr>
          <w:p w14:paraId="53EBEF5B">
            <w:pPr>
              <w:pStyle w:val="18"/>
              <w:adjustRightInd w:val="0"/>
              <w:snapToGrid w:val="0"/>
              <w:ind w:firstLine="0" w:firstLineChars="0"/>
              <w:rPr>
                <w:rFonts w:ascii="Times New Roman"/>
                <w:sz w:val="28"/>
                <w:szCs w:val="28"/>
              </w:rPr>
            </w:pPr>
            <w:r>
              <w:rPr>
                <w:rFonts w:hint="eastAsia" w:ascii="Times New Roman"/>
                <w:sz w:val="28"/>
                <w:szCs w:val="28"/>
              </w:rPr>
              <w:t>食品作业区宜根据食品类别、卫生要求和作业流程合理布局，建立清洁、消毒流程，执行GB 31605的规定。</w:t>
            </w:r>
          </w:p>
        </w:tc>
        <w:tc>
          <w:tcPr>
            <w:tcW w:w="2410" w:type="dxa"/>
            <w:vMerge w:val="continue"/>
            <w:vAlign w:val="center"/>
          </w:tcPr>
          <w:p w14:paraId="1D4A53B9">
            <w:pPr>
              <w:pStyle w:val="18"/>
              <w:adjustRightInd w:val="0"/>
              <w:snapToGrid w:val="0"/>
              <w:ind w:firstLine="0" w:firstLineChars="0"/>
              <w:rPr>
                <w:rFonts w:ascii="Times New Roman"/>
                <w:sz w:val="28"/>
                <w:szCs w:val="28"/>
              </w:rPr>
            </w:pPr>
          </w:p>
        </w:tc>
        <w:tc>
          <w:tcPr>
            <w:tcW w:w="2268" w:type="dxa"/>
            <w:vMerge w:val="continue"/>
            <w:vAlign w:val="center"/>
          </w:tcPr>
          <w:p w14:paraId="477A95A1">
            <w:pPr>
              <w:pStyle w:val="18"/>
              <w:adjustRightInd w:val="0"/>
              <w:snapToGrid w:val="0"/>
              <w:ind w:firstLine="0" w:firstLineChars="0"/>
              <w:rPr>
                <w:rFonts w:ascii="Times New Roman"/>
                <w:sz w:val="28"/>
                <w:szCs w:val="28"/>
              </w:rPr>
            </w:pPr>
          </w:p>
        </w:tc>
      </w:tr>
      <w:tr w14:paraId="08A8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41D2756F">
            <w:pPr>
              <w:jc w:val="center"/>
              <w:rPr>
                <w:rFonts w:ascii="Times New Roman" w:hAnsi="Times New Roman"/>
                <w:sz w:val="28"/>
                <w:szCs w:val="28"/>
              </w:rPr>
            </w:pPr>
          </w:p>
        </w:tc>
        <w:tc>
          <w:tcPr>
            <w:tcW w:w="706" w:type="dxa"/>
            <w:vAlign w:val="center"/>
          </w:tcPr>
          <w:p w14:paraId="41EFFB4A">
            <w:pPr>
              <w:pStyle w:val="20"/>
              <w:numPr>
                <w:ilvl w:val="0"/>
                <w:numId w:val="3"/>
              </w:numPr>
              <w:ind w:firstLineChars="0"/>
              <w:jc w:val="center"/>
              <w:rPr>
                <w:rFonts w:ascii="Times New Roman" w:hAnsi="Times New Roman"/>
                <w:sz w:val="28"/>
                <w:szCs w:val="28"/>
              </w:rPr>
            </w:pPr>
          </w:p>
        </w:tc>
        <w:tc>
          <w:tcPr>
            <w:tcW w:w="3046" w:type="dxa"/>
            <w:vAlign w:val="center"/>
          </w:tcPr>
          <w:p w14:paraId="2E88292A">
            <w:pPr>
              <w:pStyle w:val="18"/>
              <w:adjustRightInd w:val="0"/>
              <w:snapToGrid w:val="0"/>
              <w:ind w:firstLine="0" w:firstLineChars="0"/>
              <w:rPr>
                <w:rFonts w:ascii="Times New Roman"/>
                <w:sz w:val="28"/>
                <w:szCs w:val="28"/>
              </w:rPr>
            </w:pPr>
            <w:r>
              <w:rPr>
                <w:rFonts w:hint="eastAsia" w:ascii="Times New Roman"/>
                <w:sz w:val="28"/>
                <w:szCs w:val="28"/>
              </w:rPr>
              <w:t>排水、通风及废弃物暂存设施的设置宜根据食品和作业环境的污染风险因素，采取防虫、防鼠、防蝇等措施。</w:t>
            </w:r>
          </w:p>
        </w:tc>
        <w:tc>
          <w:tcPr>
            <w:tcW w:w="2410" w:type="dxa"/>
            <w:vMerge w:val="continue"/>
            <w:vAlign w:val="center"/>
          </w:tcPr>
          <w:p w14:paraId="389FFD96">
            <w:pPr>
              <w:pStyle w:val="18"/>
              <w:adjustRightInd w:val="0"/>
              <w:snapToGrid w:val="0"/>
              <w:ind w:firstLine="0" w:firstLineChars="0"/>
              <w:rPr>
                <w:rFonts w:ascii="Times New Roman"/>
                <w:sz w:val="28"/>
                <w:szCs w:val="28"/>
              </w:rPr>
            </w:pPr>
          </w:p>
        </w:tc>
        <w:tc>
          <w:tcPr>
            <w:tcW w:w="2268" w:type="dxa"/>
            <w:vMerge w:val="continue"/>
            <w:vAlign w:val="center"/>
          </w:tcPr>
          <w:p w14:paraId="6CD02859">
            <w:pPr>
              <w:pStyle w:val="18"/>
              <w:adjustRightInd w:val="0"/>
              <w:snapToGrid w:val="0"/>
              <w:ind w:firstLine="0" w:firstLineChars="0"/>
              <w:rPr>
                <w:rFonts w:ascii="Times New Roman"/>
                <w:sz w:val="28"/>
                <w:szCs w:val="28"/>
              </w:rPr>
            </w:pPr>
          </w:p>
        </w:tc>
      </w:tr>
      <w:tr w14:paraId="4919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restart"/>
            <w:vAlign w:val="center"/>
          </w:tcPr>
          <w:p w14:paraId="5103A460">
            <w:pPr>
              <w:jc w:val="center"/>
              <w:rPr>
                <w:rFonts w:ascii="Times New Roman" w:hAnsi="Times New Roman"/>
                <w:sz w:val="28"/>
                <w:szCs w:val="28"/>
              </w:rPr>
            </w:pPr>
            <w:r>
              <w:rPr>
                <w:rFonts w:hint="eastAsia" w:ascii="Times New Roman" w:hAnsi="Times New Roman"/>
                <w:sz w:val="28"/>
                <w:szCs w:val="28"/>
              </w:rPr>
              <w:t>13信息化与智能化</w:t>
            </w:r>
          </w:p>
        </w:tc>
        <w:tc>
          <w:tcPr>
            <w:tcW w:w="706" w:type="dxa"/>
            <w:vAlign w:val="center"/>
          </w:tcPr>
          <w:p w14:paraId="13C5DD3B">
            <w:pPr>
              <w:pStyle w:val="20"/>
              <w:numPr>
                <w:ilvl w:val="0"/>
                <w:numId w:val="4"/>
              </w:numPr>
              <w:ind w:firstLineChars="0"/>
              <w:jc w:val="center"/>
              <w:rPr>
                <w:rFonts w:ascii="Times New Roman" w:hAnsi="Times New Roman"/>
                <w:sz w:val="28"/>
                <w:szCs w:val="28"/>
              </w:rPr>
            </w:pPr>
          </w:p>
        </w:tc>
        <w:tc>
          <w:tcPr>
            <w:tcW w:w="3046" w:type="dxa"/>
            <w:vAlign w:val="center"/>
          </w:tcPr>
          <w:p w14:paraId="28C4D88E">
            <w:pPr>
              <w:pStyle w:val="18"/>
              <w:adjustRightInd w:val="0"/>
              <w:snapToGrid w:val="0"/>
              <w:ind w:firstLine="0" w:firstLineChars="0"/>
              <w:rPr>
                <w:rFonts w:ascii="Times New Roman"/>
                <w:sz w:val="28"/>
                <w:szCs w:val="28"/>
              </w:rPr>
            </w:pPr>
            <w:r>
              <w:rPr>
                <w:rFonts w:hint="eastAsia" w:ascii="Times New Roman"/>
                <w:sz w:val="28"/>
                <w:szCs w:val="28"/>
              </w:rPr>
              <w:t>宜在各功能区域安装温度测量与传感设备、温度报警设备，并与信息管理系统实现对接。</w:t>
            </w:r>
          </w:p>
        </w:tc>
        <w:tc>
          <w:tcPr>
            <w:tcW w:w="2410" w:type="dxa"/>
            <w:vMerge w:val="restart"/>
            <w:vAlign w:val="center"/>
          </w:tcPr>
          <w:p w14:paraId="4B8CD37F">
            <w:pPr>
              <w:pStyle w:val="18"/>
              <w:adjustRightInd w:val="0"/>
              <w:snapToGrid w:val="0"/>
              <w:ind w:firstLine="0" w:firstLineChars="0"/>
              <w:rPr>
                <w:rFonts w:ascii="Times New Roman"/>
                <w:sz w:val="28"/>
                <w:szCs w:val="28"/>
              </w:rPr>
            </w:pPr>
            <w:r>
              <w:rPr>
                <w:rFonts w:hint="eastAsia" w:ascii="Times New Roman"/>
                <w:sz w:val="28"/>
                <w:szCs w:val="28"/>
              </w:rPr>
              <w:t>10.1　对于温度的监控，需考虑在各功能区域安装温度测量与传感设备、温度报警设备，并需考虑与信息管理系统实现对接。</w:t>
            </w:r>
          </w:p>
          <w:p w14:paraId="749A829B">
            <w:pPr>
              <w:pStyle w:val="18"/>
              <w:adjustRightInd w:val="0"/>
              <w:snapToGrid w:val="0"/>
              <w:ind w:firstLine="0" w:firstLineChars="0"/>
              <w:rPr>
                <w:rFonts w:ascii="Times New Roman"/>
                <w:sz w:val="28"/>
                <w:szCs w:val="28"/>
              </w:rPr>
            </w:pPr>
            <w:r>
              <w:rPr>
                <w:rFonts w:hint="eastAsia" w:ascii="Times New Roman"/>
                <w:sz w:val="28"/>
                <w:szCs w:val="28"/>
              </w:rPr>
              <w:t>10.2　对于作业的监控需考虑在各作业区域安装视频监控设备。</w:t>
            </w:r>
          </w:p>
          <w:p w14:paraId="66915B7C">
            <w:pPr>
              <w:pStyle w:val="18"/>
              <w:adjustRightInd w:val="0"/>
              <w:snapToGrid w:val="0"/>
              <w:ind w:firstLine="0" w:firstLineChars="0"/>
              <w:rPr>
                <w:rFonts w:ascii="Times New Roman"/>
                <w:sz w:val="28"/>
                <w:szCs w:val="28"/>
              </w:rPr>
            </w:pPr>
            <w:r>
              <w:rPr>
                <w:rFonts w:hint="eastAsia" w:ascii="Times New Roman"/>
                <w:sz w:val="28"/>
                <w:szCs w:val="28"/>
              </w:rPr>
              <w:t>10.3　需要考虑建立信息管理系统，系统需根据食品低温配送中心作业流程及管理规范，按需求规划系统相应的功能，信息系统主要由仓库管理系统(WMS)、运输管理系统(TMS)和订单管理系统（OMS)等组成，配备自动化设备的低温配送中心还需考虑有自动化控制系统（WCS)、射频识别（RFID)等技术。 信息系统需考虑与客户、供应商间预留或开设系统接口，并实现无缝对接。</w:t>
            </w:r>
          </w:p>
          <w:p w14:paraId="22B49B4D">
            <w:pPr>
              <w:pStyle w:val="18"/>
              <w:adjustRightInd w:val="0"/>
              <w:snapToGrid w:val="0"/>
              <w:ind w:firstLine="0" w:firstLineChars="0"/>
              <w:rPr>
                <w:rFonts w:ascii="Times New Roman"/>
                <w:sz w:val="28"/>
                <w:szCs w:val="28"/>
              </w:rPr>
            </w:pPr>
            <w:r>
              <w:rPr>
                <w:rFonts w:hint="eastAsia" w:ascii="Times New Roman"/>
                <w:sz w:val="28"/>
                <w:szCs w:val="28"/>
              </w:rPr>
              <w:t>10.4　建立的信息管理系统需要考虑对出入车辆及人员实现信息化管理</w:t>
            </w:r>
          </w:p>
        </w:tc>
        <w:tc>
          <w:tcPr>
            <w:tcW w:w="2268" w:type="dxa"/>
            <w:vMerge w:val="restart"/>
            <w:vAlign w:val="center"/>
          </w:tcPr>
          <w:p w14:paraId="05B6990A">
            <w:pPr>
              <w:pStyle w:val="18"/>
              <w:adjustRightInd w:val="0"/>
              <w:snapToGrid w:val="0"/>
              <w:ind w:firstLine="0" w:firstLineChars="0"/>
              <w:rPr>
                <w:rFonts w:ascii="Times New Roman"/>
                <w:sz w:val="28"/>
                <w:szCs w:val="28"/>
              </w:rPr>
            </w:pPr>
            <w:r>
              <w:rPr>
                <w:rFonts w:hint="eastAsia" w:ascii="Times New Roman"/>
                <w:sz w:val="28"/>
                <w:szCs w:val="28"/>
              </w:rPr>
              <w:t>更改了信息化与智能化的内容（见第13章，2019年版的第10章）。将“信息化管理”更改为“信息化与智能化”，增加温度测量与传感、温度报警、视频监控、智能识别、车辆及人员管理、物联网、自动化控制、物业管理、消防管理、数字化与智能化仓储、无人值守和智慧能源管理等内容，并建议增加客户、供应商系统接口和食品冷链追溯信息采集及记录等。</w:t>
            </w:r>
          </w:p>
        </w:tc>
      </w:tr>
      <w:tr w14:paraId="0E0A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7EDC37CB">
            <w:pPr>
              <w:jc w:val="center"/>
              <w:rPr>
                <w:rFonts w:ascii="Times New Roman" w:hAnsi="Times New Roman"/>
                <w:sz w:val="28"/>
                <w:szCs w:val="28"/>
              </w:rPr>
            </w:pPr>
          </w:p>
        </w:tc>
        <w:tc>
          <w:tcPr>
            <w:tcW w:w="706" w:type="dxa"/>
            <w:vAlign w:val="center"/>
          </w:tcPr>
          <w:p w14:paraId="615573E9">
            <w:pPr>
              <w:pStyle w:val="20"/>
              <w:numPr>
                <w:ilvl w:val="0"/>
                <w:numId w:val="4"/>
              </w:numPr>
              <w:ind w:firstLineChars="0"/>
              <w:jc w:val="center"/>
              <w:rPr>
                <w:rFonts w:ascii="Times New Roman" w:hAnsi="Times New Roman"/>
                <w:sz w:val="28"/>
                <w:szCs w:val="28"/>
              </w:rPr>
            </w:pPr>
          </w:p>
        </w:tc>
        <w:tc>
          <w:tcPr>
            <w:tcW w:w="3046" w:type="dxa"/>
            <w:vAlign w:val="center"/>
          </w:tcPr>
          <w:p w14:paraId="264C9394">
            <w:pPr>
              <w:pStyle w:val="18"/>
              <w:adjustRightInd w:val="0"/>
              <w:snapToGrid w:val="0"/>
              <w:ind w:firstLine="0" w:firstLineChars="0"/>
              <w:rPr>
                <w:rFonts w:ascii="Times New Roman"/>
                <w:sz w:val="28"/>
                <w:szCs w:val="28"/>
              </w:rPr>
            </w:pPr>
            <w:r>
              <w:rPr>
                <w:rFonts w:hint="eastAsia" w:ascii="Times New Roman"/>
                <w:sz w:val="28"/>
                <w:szCs w:val="28"/>
              </w:rPr>
              <w:t>宜在各作业区域安装监控与智能识别设备。</w:t>
            </w:r>
          </w:p>
        </w:tc>
        <w:tc>
          <w:tcPr>
            <w:tcW w:w="2410" w:type="dxa"/>
            <w:vMerge w:val="continue"/>
            <w:vAlign w:val="center"/>
          </w:tcPr>
          <w:p w14:paraId="62C657C0">
            <w:pPr>
              <w:pStyle w:val="18"/>
              <w:adjustRightInd w:val="0"/>
              <w:snapToGrid w:val="0"/>
              <w:ind w:firstLine="0" w:firstLineChars="0"/>
              <w:rPr>
                <w:rFonts w:ascii="Times New Roman"/>
                <w:sz w:val="28"/>
                <w:szCs w:val="28"/>
              </w:rPr>
            </w:pPr>
          </w:p>
        </w:tc>
        <w:tc>
          <w:tcPr>
            <w:tcW w:w="2268" w:type="dxa"/>
            <w:vMerge w:val="continue"/>
            <w:vAlign w:val="center"/>
          </w:tcPr>
          <w:p w14:paraId="6E21496C">
            <w:pPr>
              <w:pStyle w:val="18"/>
              <w:adjustRightInd w:val="0"/>
              <w:snapToGrid w:val="0"/>
              <w:ind w:firstLine="0" w:firstLineChars="0"/>
              <w:rPr>
                <w:rFonts w:ascii="Times New Roman"/>
                <w:sz w:val="28"/>
                <w:szCs w:val="28"/>
              </w:rPr>
            </w:pPr>
          </w:p>
        </w:tc>
      </w:tr>
      <w:tr w14:paraId="2B1C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2C5E5392">
            <w:pPr>
              <w:jc w:val="center"/>
              <w:rPr>
                <w:rFonts w:ascii="Times New Roman" w:hAnsi="Times New Roman"/>
                <w:sz w:val="28"/>
                <w:szCs w:val="28"/>
              </w:rPr>
            </w:pPr>
          </w:p>
        </w:tc>
        <w:tc>
          <w:tcPr>
            <w:tcW w:w="706" w:type="dxa"/>
            <w:vAlign w:val="center"/>
          </w:tcPr>
          <w:p w14:paraId="39B8C15C">
            <w:pPr>
              <w:pStyle w:val="20"/>
              <w:numPr>
                <w:ilvl w:val="0"/>
                <w:numId w:val="4"/>
              </w:numPr>
              <w:ind w:firstLineChars="0"/>
              <w:jc w:val="center"/>
              <w:rPr>
                <w:rFonts w:ascii="Times New Roman" w:hAnsi="Times New Roman"/>
                <w:sz w:val="28"/>
                <w:szCs w:val="28"/>
              </w:rPr>
            </w:pPr>
          </w:p>
        </w:tc>
        <w:tc>
          <w:tcPr>
            <w:tcW w:w="3046" w:type="dxa"/>
            <w:vAlign w:val="center"/>
          </w:tcPr>
          <w:p w14:paraId="7FDEBE89">
            <w:pPr>
              <w:pStyle w:val="18"/>
              <w:adjustRightInd w:val="0"/>
              <w:snapToGrid w:val="0"/>
              <w:ind w:firstLine="0" w:firstLineChars="0"/>
              <w:rPr>
                <w:rFonts w:ascii="Times New Roman"/>
                <w:sz w:val="28"/>
                <w:szCs w:val="28"/>
              </w:rPr>
            </w:pPr>
            <w:r>
              <w:rPr>
                <w:rFonts w:hint="eastAsia" w:ascii="Times New Roman"/>
                <w:sz w:val="28"/>
                <w:szCs w:val="28"/>
              </w:rPr>
              <w:t>宜根据作业需求建立信息管理系统，按需求规划系统相应的功能，并开设或预留与客户、供应商间系统接口。</w:t>
            </w:r>
          </w:p>
        </w:tc>
        <w:tc>
          <w:tcPr>
            <w:tcW w:w="2410" w:type="dxa"/>
            <w:vMerge w:val="continue"/>
            <w:vAlign w:val="center"/>
          </w:tcPr>
          <w:p w14:paraId="1F407EFD">
            <w:pPr>
              <w:pStyle w:val="18"/>
              <w:adjustRightInd w:val="0"/>
              <w:snapToGrid w:val="0"/>
              <w:ind w:firstLine="0" w:firstLineChars="0"/>
              <w:rPr>
                <w:rFonts w:ascii="Times New Roman"/>
                <w:sz w:val="28"/>
                <w:szCs w:val="28"/>
              </w:rPr>
            </w:pPr>
          </w:p>
        </w:tc>
        <w:tc>
          <w:tcPr>
            <w:tcW w:w="2268" w:type="dxa"/>
            <w:vMerge w:val="continue"/>
            <w:vAlign w:val="center"/>
          </w:tcPr>
          <w:p w14:paraId="08547513">
            <w:pPr>
              <w:pStyle w:val="18"/>
              <w:adjustRightInd w:val="0"/>
              <w:snapToGrid w:val="0"/>
              <w:ind w:firstLine="0" w:firstLineChars="0"/>
              <w:rPr>
                <w:rFonts w:ascii="Times New Roman"/>
                <w:sz w:val="28"/>
                <w:szCs w:val="28"/>
              </w:rPr>
            </w:pPr>
          </w:p>
        </w:tc>
      </w:tr>
      <w:tr w14:paraId="527B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6C3D4ACC">
            <w:pPr>
              <w:jc w:val="center"/>
              <w:rPr>
                <w:rFonts w:ascii="Times New Roman" w:hAnsi="Times New Roman"/>
                <w:sz w:val="28"/>
                <w:szCs w:val="28"/>
              </w:rPr>
            </w:pPr>
          </w:p>
        </w:tc>
        <w:tc>
          <w:tcPr>
            <w:tcW w:w="706" w:type="dxa"/>
            <w:vAlign w:val="center"/>
          </w:tcPr>
          <w:p w14:paraId="066B7464">
            <w:pPr>
              <w:pStyle w:val="20"/>
              <w:numPr>
                <w:ilvl w:val="0"/>
                <w:numId w:val="4"/>
              </w:numPr>
              <w:ind w:firstLineChars="0"/>
              <w:jc w:val="center"/>
              <w:rPr>
                <w:rFonts w:ascii="Times New Roman" w:hAnsi="Times New Roman"/>
                <w:sz w:val="28"/>
                <w:szCs w:val="28"/>
              </w:rPr>
            </w:pPr>
          </w:p>
        </w:tc>
        <w:tc>
          <w:tcPr>
            <w:tcW w:w="3046" w:type="dxa"/>
            <w:vAlign w:val="center"/>
          </w:tcPr>
          <w:p w14:paraId="635CD29A">
            <w:pPr>
              <w:pStyle w:val="18"/>
              <w:adjustRightInd w:val="0"/>
              <w:snapToGrid w:val="0"/>
              <w:ind w:firstLine="0" w:firstLineChars="0"/>
              <w:rPr>
                <w:rFonts w:ascii="Times New Roman"/>
                <w:sz w:val="28"/>
                <w:szCs w:val="28"/>
              </w:rPr>
            </w:pPr>
            <w:r>
              <w:rPr>
                <w:rFonts w:hint="eastAsia" w:ascii="Times New Roman"/>
                <w:sz w:val="28"/>
                <w:szCs w:val="28"/>
              </w:rPr>
              <w:t>信息系统宜由仓库管理系统、运输管理系统、订单管理系统、车辆及人员管理系统等组成，配备自动化设备的宜采用自动化控制系统、物联网等技术。</w:t>
            </w:r>
          </w:p>
        </w:tc>
        <w:tc>
          <w:tcPr>
            <w:tcW w:w="2410" w:type="dxa"/>
            <w:vMerge w:val="continue"/>
            <w:vAlign w:val="center"/>
          </w:tcPr>
          <w:p w14:paraId="7B085993">
            <w:pPr>
              <w:pStyle w:val="18"/>
              <w:adjustRightInd w:val="0"/>
              <w:snapToGrid w:val="0"/>
              <w:ind w:firstLine="0" w:firstLineChars="0"/>
              <w:rPr>
                <w:rFonts w:ascii="Times New Roman"/>
                <w:sz w:val="28"/>
                <w:szCs w:val="28"/>
              </w:rPr>
            </w:pPr>
          </w:p>
        </w:tc>
        <w:tc>
          <w:tcPr>
            <w:tcW w:w="2268" w:type="dxa"/>
            <w:vMerge w:val="continue"/>
            <w:vAlign w:val="center"/>
          </w:tcPr>
          <w:p w14:paraId="0A61515E">
            <w:pPr>
              <w:pStyle w:val="18"/>
              <w:adjustRightInd w:val="0"/>
              <w:snapToGrid w:val="0"/>
              <w:ind w:firstLine="0" w:firstLineChars="0"/>
              <w:rPr>
                <w:rFonts w:ascii="Times New Roman"/>
                <w:sz w:val="28"/>
                <w:szCs w:val="28"/>
              </w:rPr>
            </w:pPr>
          </w:p>
        </w:tc>
      </w:tr>
      <w:tr w14:paraId="5FE6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5F0A85D8">
            <w:pPr>
              <w:jc w:val="center"/>
              <w:rPr>
                <w:rFonts w:ascii="Times New Roman" w:hAnsi="Times New Roman"/>
                <w:sz w:val="28"/>
                <w:szCs w:val="28"/>
              </w:rPr>
            </w:pPr>
          </w:p>
        </w:tc>
        <w:tc>
          <w:tcPr>
            <w:tcW w:w="706" w:type="dxa"/>
            <w:vAlign w:val="center"/>
          </w:tcPr>
          <w:p w14:paraId="31BD8E1B">
            <w:pPr>
              <w:pStyle w:val="20"/>
              <w:numPr>
                <w:ilvl w:val="0"/>
                <w:numId w:val="4"/>
              </w:numPr>
              <w:ind w:firstLineChars="0"/>
              <w:jc w:val="center"/>
              <w:rPr>
                <w:rFonts w:ascii="Times New Roman" w:hAnsi="Times New Roman"/>
                <w:sz w:val="28"/>
                <w:szCs w:val="28"/>
              </w:rPr>
            </w:pPr>
          </w:p>
        </w:tc>
        <w:tc>
          <w:tcPr>
            <w:tcW w:w="3046" w:type="dxa"/>
            <w:vAlign w:val="center"/>
          </w:tcPr>
          <w:p w14:paraId="50016518">
            <w:pPr>
              <w:pStyle w:val="18"/>
              <w:adjustRightInd w:val="0"/>
              <w:snapToGrid w:val="0"/>
              <w:ind w:firstLine="0" w:firstLineChars="0"/>
              <w:rPr>
                <w:rFonts w:ascii="Times New Roman"/>
                <w:sz w:val="28"/>
                <w:szCs w:val="28"/>
              </w:rPr>
            </w:pPr>
            <w:r>
              <w:rPr>
                <w:rFonts w:hint="eastAsia" w:ascii="Times New Roman"/>
                <w:sz w:val="28"/>
                <w:szCs w:val="28"/>
              </w:rPr>
              <w:t>宜建立智能化应用系统，包括但不限于物业管理、消防管理、数字化与智能化仓储、无人值守、智慧能源管理系统。</w:t>
            </w:r>
          </w:p>
        </w:tc>
        <w:tc>
          <w:tcPr>
            <w:tcW w:w="2410" w:type="dxa"/>
            <w:vMerge w:val="continue"/>
            <w:vAlign w:val="center"/>
          </w:tcPr>
          <w:p w14:paraId="609027E7">
            <w:pPr>
              <w:pStyle w:val="18"/>
              <w:adjustRightInd w:val="0"/>
              <w:snapToGrid w:val="0"/>
              <w:ind w:firstLine="0" w:firstLineChars="0"/>
              <w:rPr>
                <w:rFonts w:ascii="Times New Roman"/>
                <w:sz w:val="28"/>
                <w:szCs w:val="28"/>
              </w:rPr>
            </w:pPr>
          </w:p>
        </w:tc>
        <w:tc>
          <w:tcPr>
            <w:tcW w:w="2268" w:type="dxa"/>
            <w:vMerge w:val="continue"/>
            <w:vAlign w:val="center"/>
          </w:tcPr>
          <w:p w14:paraId="1557AF20">
            <w:pPr>
              <w:pStyle w:val="18"/>
              <w:adjustRightInd w:val="0"/>
              <w:snapToGrid w:val="0"/>
              <w:ind w:firstLine="0" w:firstLineChars="0"/>
              <w:rPr>
                <w:rFonts w:ascii="Times New Roman"/>
                <w:sz w:val="28"/>
                <w:szCs w:val="28"/>
              </w:rPr>
            </w:pPr>
          </w:p>
        </w:tc>
      </w:tr>
      <w:tr w14:paraId="7977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vMerge w:val="continue"/>
            <w:vAlign w:val="center"/>
          </w:tcPr>
          <w:p w14:paraId="16ECD128">
            <w:pPr>
              <w:jc w:val="center"/>
              <w:rPr>
                <w:rFonts w:ascii="Times New Roman" w:hAnsi="Times New Roman"/>
                <w:sz w:val="28"/>
                <w:szCs w:val="28"/>
              </w:rPr>
            </w:pPr>
          </w:p>
        </w:tc>
        <w:tc>
          <w:tcPr>
            <w:tcW w:w="706" w:type="dxa"/>
            <w:vAlign w:val="center"/>
          </w:tcPr>
          <w:p w14:paraId="1620AAD9">
            <w:pPr>
              <w:pStyle w:val="20"/>
              <w:numPr>
                <w:ilvl w:val="0"/>
                <w:numId w:val="4"/>
              </w:numPr>
              <w:ind w:firstLineChars="0"/>
              <w:jc w:val="center"/>
              <w:rPr>
                <w:rFonts w:ascii="Times New Roman" w:hAnsi="Times New Roman"/>
                <w:sz w:val="28"/>
                <w:szCs w:val="28"/>
              </w:rPr>
            </w:pPr>
          </w:p>
        </w:tc>
        <w:tc>
          <w:tcPr>
            <w:tcW w:w="3046" w:type="dxa"/>
            <w:vAlign w:val="center"/>
          </w:tcPr>
          <w:p w14:paraId="7E470CF6">
            <w:pPr>
              <w:pStyle w:val="18"/>
              <w:adjustRightInd w:val="0"/>
              <w:snapToGrid w:val="0"/>
              <w:ind w:firstLine="0" w:firstLineChars="0"/>
              <w:rPr>
                <w:rFonts w:ascii="Times New Roman"/>
                <w:sz w:val="28"/>
                <w:szCs w:val="28"/>
              </w:rPr>
            </w:pPr>
            <w:r>
              <w:rPr>
                <w:rFonts w:hint="eastAsia" w:ascii="Times New Roman"/>
                <w:sz w:val="28"/>
                <w:szCs w:val="28"/>
              </w:rPr>
              <w:t>追溯体系建设中的信息采集及记录部分宜依据GB/T 28843—2024第6章的相关内容和要求。</w:t>
            </w:r>
          </w:p>
        </w:tc>
        <w:tc>
          <w:tcPr>
            <w:tcW w:w="2410" w:type="dxa"/>
            <w:vMerge w:val="continue"/>
            <w:vAlign w:val="center"/>
          </w:tcPr>
          <w:p w14:paraId="06C93A2C">
            <w:pPr>
              <w:pStyle w:val="18"/>
              <w:adjustRightInd w:val="0"/>
              <w:snapToGrid w:val="0"/>
              <w:ind w:firstLine="0" w:firstLineChars="0"/>
              <w:rPr>
                <w:rFonts w:ascii="Times New Roman"/>
                <w:sz w:val="28"/>
                <w:szCs w:val="28"/>
              </w:rPr>
            </w:pPr>
          </w:p>
        </w:tc>
        <w:tc>
          <w:tcPr>
            <w:tcW w:w="2268" w:type="dxa"/>
            <w:vMerge w:val="continue"/>
            <w:vAlign w:val="center"/>
          </w:tcPr>
          <w:p w14:paraId="70C966C0">
            <w:pPr>
              <w:pStyle w:val="18"/>
              <w:adjustRightInd w:val="0"/>
              <w:snapToGrid w:val="0"/>
              <w:ind w:firstLine="0" w:firstLineChars="0"/>
              <w:rPr>
                <w:rFonts w:ascii="Times New Roman"/>
                <w:sz w:val="28"/>
                <w:szCs w:val="28"/>
              </w:rPr>
            </w:pPr>
          </w:p>
        </w:tc>
      </w:tr>
    </w:tbl>
    <w:p w14:paraId="1F5A809D">
      <w:pPr>
        <w:outlineLvl w:val="0"/>
        <w:rPr>
          <w:rFonts w:hint="eastAsia" w:ascii="黑体" w:hAnsi="黑体" w:eastAsia="黑体" w:cs="黑体"/>
          <w:sz w:val="32"/>
          <w:szCs w:val="32"/>
        </w:rPr>
      </w:pPr>
      <w:r>
        <w:rPr>
          <w:rFonts w:hint="eastAsia" w:ascii="黑体" w:hAnsi="黑体" w:eastAsia="黑体" w:cs="黑体"/>
          <w:sz w:val="32"/>
          <w:szCs w:val="32"/>
        </w:rPr>
        <w:t>三、试验验证的分析、综述报告，技术经济论证，预期的经济效益、社会效益和生态效益</w:t>
      </w:r>
    </w:p>
    <w:p w14:paraId="222B9F00">
      <w:pPr>
        <w:ind w:firstLine="640" w:firstLineChars="200"/>
        <w:rPr>
          <w:rFonts w:ascii="Times New Roman" w:hAnsi="Times New Roman"/>
          <w:sz w:val="32"/>
          <w:szCs w:val="32"/>
        </w:rPr>
      </w:pPr>
      <w:r>
        <w:rPr>
          <w:rFonts w:ascii="Times New Roman" w:hAnsi="Times New Roman"/>
          <w:sz w:val="32"/>
          <w:szCs w:val="32"/>
        </w:rPr>
        <w:t>本标准属于食品低温配送中心规划设计指南类标准，主要用于指导相关项目的新建、改建和扩建。标准内容以规划设计原则、功能布局、设施设备选用和管理要求为主，不涉及统一的产品性能试验方法或检测指标。</w:t>
      </w:r>
    </w:p>
    <w:p w14:paraId="7E7F9677">
      <w:pPr>
        <w:ind w:firstLine="640" w:firstLineChars="200"/>
        <w:rPr>
          <w:rFonts w:ascii="Times New Roman" w:hAnsi="Times New Roman"/>
          <w:sz w:val="32"/>
          <w:szCs w:val="32"/>
        </w:rPr>
      </w:pPr>
      <w:r>
        <w:rPr>
          <w:rFonts w:ascii="Times New Roman" w:hAnsi="Times New Roman"/>
          <w:sz w:val="32"/>
          <w:szCs w:val="32"/>
        </w:rPr>
        <w:t>在标准研制过程中，起草组结合食品低温配送中心规划设计和运营实践，对标准主要技术内容进行了分析和论证。相关内容来源于原标准实施经验、冷库及仓储配送设施建设实践、食品低温配送中心运营需求，以及冷链物流自动化、数字化、绿色低碳发展趋势。</w:t>
      </w:r>
    </w:p>
    <w:p w14:paraId="7FBC60C4">
      <w:pPr>
        <w:ind w:firstLine="640" w:firstLineChars="200"/>
        <w:rPr>
          <w:rFonts w:ascii="Times New Roman" w:hAnsi="Times New Roman"/>
          <w:sz w:val="32"/>
          <w:szCs w:val="32"/>
        </w:rPr>
      </w:pPr>
      <w:r>
        <w:rPr>
          <w:rFonts w:ascii="Times New Roman" w:hAnsi="Times New Roman"/>
          <w:sz w:val="32"/>
          <w:szCs w:val="32"/>
        </w:rPr>
        <w:t>经分析，本标准提出的有关冷库建筑、控温封闭站台、功能区、道路动线、温控、设施设备、安全卫生、节能环保和信息系统管理要求，与食品低温配送中心建设运营实际相适应，具有较好的可实施性。</w:t>
      </w:r>
    </w:p>
    <w:p w14:paraId="78D9440C">
      <w:pPr>
        <w:ind w:firstLine="640" w:firstLineChars="200"/>
        <w:rPr>
          <w:rFonts w:ascii="Times New Roman" w:hAnsi="Times New Roman"/>
          <w:sz w:val="32"/>
          <w:szCs w:val="32"/>
        </w:rPr>
      </w:pPr>
      <w:r>
        <w:rPr>
          <w:rFonts w:ascii="Times New Roman" w:hAnsi="Times New Roman"/>
          <w:sz w:val="32"/>
          <w:szCs w:val="32"/>
        </w:rPr>
        <w:t>从技术经济角度看，标准实施可能使部分新建或改建项目在温控系统、自动化设备、信息化系统、节能设施和安全保障方面增加前期投入，但通过合理规划设计、优化作业流程、减少冷量损失、降低食品损耗、提高作业效率、减少安全和质量风险，可在运营期内降低综合成本，提升企业市场竞争力和品牌价值。</w:t>
      </w:r>
    </w:p>
    <w:p w14:paraId="5A339E46">
      <w:pPr>
        <w:ind w:firstLine="640" w:firstLineChars="200"/>
        <w:rPr>
          <w:rFonts w:ascii="Times New Roman" w:hAnsi="Times New Roman"/>
          <w:sz w:val="32"/>
          <w:szCs w:val="32"/>
        </w:rPr>
      </w:pPr>
      <w:r>
        <w:rPr>
          <w:rFonts w:ascii="Times New Roman" w:hAnsi="Times New Roman"/>
          <w:sz w:val="32"/>
          <w:szCs w:val="32"/>
        </w:rPr>
        <w:t>后续，起草组宜选择具有代表性的食品低温配送中心项目，对功能区布局、控温封闭站台设计、温湿度监测、作业动线、自动化设施配置、能源管理和信息追溯等内容开展应用验证，并形成验证记录或应用情况说明，为标准审查提供支撑材料。</w:t>
      </w:r>
    </w:p>
    <w:p w14:paraId="02B40ED0">
      <w:pPr>
        <w:jc w:val="center"/>
        <w:rPr>
          <w:rFonts w:ascii="Times New Roman" w:hAnsi="Times New Roman"/>
          <w:sz w:val="32"/>
          <w:szCs w:val="32"/>
        </w:rPr>
      </w:pPr>
      <w:r>
        <w:rPr>
          <w:rFonts w:hint="eastAsia" w:ascii="Times New Roman" w:hAnsi="Times New Roman"/>
          <w:sz w:val="32"/>
          <w:szCs w:val="32"/>
        </w:rPr>
        <w:t>表2 调研、验证企业名单</w:t>
      </w:r>
    </w:p>
    <w:tbl>
      <w:tblPr>
        <w:tblStyle w:val="13"/>
        <w:tblW w:w="0" w:type="auto"/>
        <w:tblInd w:w="0" w:type="dxa"/>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Layout w:type="autofit"/>
        <w:tblCellMar>
          <w:top w:w="0" w:type="dxa"/>
          <w:left w:w="108" w:type="dxa"/>
          <w:bottom w:w="0" w:type="dxa"/>
          <w:right w:w="108" w:type="dxa"/>
        </w:tblCellMar>
      </w:tblPr>
      <w:tblGrid>
        <w:gridCol w:w="802"/>
        <w:gridCol w:w="1904"/>
        <w:gridCol w:w="1679"/>
        <w:gridCol w:w="2073"/>
        <w:gridCol w:w="1838"/>
      </w:tblGrid>
      <w:tr w14:paraId="007352F6">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tcBorders>
              <w:bottom w:val="single" w:color="8EAADB" w:themeColor="accent5" w:themeTint="99" w:sz="12" w:space="0"/>
              <w:insideH w:val="single" w:sz="12" w:space="0"/>
            </w:tcBorders>
            <w:vAlign w:val="center"/>
          </w:tcPr>
          <w:p w14:paraId="7BBFE159">
            <w:pPr>
              <w:adjustRightInd w:val="0"/>
              <w:snapToGrid w:val="0"/>
              <w:jc w:val="center"/>
              <w:rPr>
                <w:rFonts w:ascii="Times New Roman" w:hAnsi="Times New Roman"/>
                <w:b/>
                <w:bCs/>
                <w:sz w:val="24"/>
              </w:rPr>
            </w:pPr>
            <w:r>
              <w:rPr>
                <w:rFonts w:hint="eastAsia" w:ascii="Times New Roman" w:hAnsi="Times New Roman"/>
                <w:b/>
                <w:bCs/>
                <w:sz w:val="24"/>
              </w:rPr>
              <w:t>序号</w:t>
            </w:r>
          </w:p>
        </w:tc>
        <w:tc>
          <w:tcPr>
            <w:tcW w:w="1958" w:type="dxa"/>
            <w:tcBorders>
              <w:bottom w:val="single" w:color="8EAADB" w:themeColor="accent5" w:themeTint="99" w:sz="12" w:space="0"/>
              <w:insideH w:val="single" w:sz="12" w:space="0"/>
            </w:tcBorders>
            <w:vAlign w:val="center"/>
          </w:tcPr>
          <w:p w14:paraId="0B350B5F">
            <w:pPr>
              <w:adjustRightInd w:val="0"/>
              <w:snapToGrid w:val="0"/>
              <w:jc w:val="center"/>
              <w:rPr>
                <w:rFonts w:ascii="Times New Roman" w:hAnsi="Times New Roman"/>
                <w:b/>
                <w:bCs/>
                <w:sz w:val="24"/>
              </w:rPr>
            </w:pPr>
            <w:r>
              <w:rPr>
                <w:rFonts w:hint="eastAsia" w:ascii="Times New Roman" w:hAnsi="Times New Roman"/>
                <w:b/>
                <w:bCs/>
                <w:sz w:val="24"/>
              </w:rPr>
              <w:t>调研单位</w:t>
            </w:r>
          </w:p>
        </w:tc>
        <w:tc>
          <w:tcPr>
            <w:tcW w:w="1728" w:type="dxa"/>
            <w:tcBorders>
              <w:bottom w:val="single" w:color="8EAADB" w:themeColor="accent5" w:themeTint="99" w:sz="12" w:space="0"/>
              <w:insideH w:val="single" w:sz="12" w:space="0"/>
            </w:tcBorders>
            <w:vAlign w:val="center"/>
          </w:tcPr>
          <w:p w14:paraId="0D01EEB1">
            <w:pPr>
              <w:adjustRightInd w:val="0"/>
              <w:snapToGrid w:val="0"/>
              <w:jc w:val="center"/>
              <w:rPr>
                <w:rFonts w:ascii="Times New Roman" w:hAnsi="Times New Roman"/>
                <w:b/>
                <w:bCs/>
                <w:sz w:val="24"/>
              </w:rPr>
            </w:pPr>
            <w:r>
              <w:rPr>
                <w:rFonts w:hint="eastAsia" w:ascii="Times New Roman" w:hAnsi="Times New Roman"/>
                <w:b/>
                <w:bCs/>
                <w:sz w:val="24"/>
              </w:rPr>
              <w:t>调研方式</w:t>
            </w:r>
          </w:p>
        </w:tc>
        <w:tc>
          <w:tcPr>
            <w:tcW w:w="2126" w:type="dxa"/>
            <w:tcBorders>
              <w:bottom w:val="single" w:color="8EAADB" w:themeColor="accent5" w:themeTint="99" w:sz="12" w:space="0"/>
              <w:insideH w:val="single" w:sz="12" w:space="0"/>
            </w:tcBorders>
            <w:vAlign w:val="center"/>
          </w:tcPr>
          <w:p w14:paraId="1E2EB21A">
            <w:pPr>
              <w:adjustRightInd w:val="0"/>
              <w:snapToGrid w:val="0"/>
              <w:jc w:val="center"/>
              <w:rPr>
                <w:rFonts w:ascii="Times New Roman" w:hAnsi="Times New Roman"/>
                <w:b/>
                <w:bCs/>
                <w:sz w:val="24"/>
              </w:rPr>
            </w:pPr>
            <w:r>
              <w:rPr>
                <w:rFonts w:hint="eastAsia" w:ascii="Times New Roman" w:hAnsi="Times New Roman"/>
                <w:b/>
                <w:bCs/>
                <w:sz w:val="24"/>
              </w:rPr>
              <w:t>验证内容</w:t>
            </w:r>
          </w:p>
        </w:tc>
        <w:tc>
          <w:tcPr>
            <w:tcW w:w="1893" w:type="dxa"/>
            <w:tcBorders>
              <w:bottom w:val="single" w:color="8EAADB" w:themeColor="accent5" w:themeTint="99" w:sz="12" w:space="0"/>
              <w:insideH w:val="single" w:sz="12" w:space="0"/>
            </w:tcBorders>
            <w:vAlign w:val="center"/>
          </w:tcPr>
          <w:p w14:paraId="56DA4EAA">
            <w:pPr>
              <w:adjustRightInd w:val="0"/>
              <w:snapToGrid w:val="0"/>
              <w:jc w:val="center"/>
              <w:rPr>
                <w:rFonts w:ascii="Times New Roman" w:hAnsi="Times New Roman"/>
                <w:b/>
                <w:bCs/>
                <w:sz w:val="24"/>
              </w:rPr>
            </w:pPr>
            <w:r>
              <w:rPr>
                <w:rFonts w:hint="eastAsia" w:ascii="Times New Roman" w:hAnsi="Times New Roman"/>
                <w:b/>
                <w:bCs/>
                <w:sz w:val="24"/>
              </w:rPr>
              <w:t>符合情况</w:t>
            </w:r>
          </w:p>
        </w:tc>
      </w:tr>
      <w:tr w14:paraId="211E5230">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6BB593E4">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1</w:t>
            </w:r>
          </w:p>
        </w:tc>
        <w:tc>
          <w:tcPr>
            <w:tcW w:w="1958" w:type="dxa"/>
            <w:vAlign w:val="center"/>
          </w:tcPr>
          <w:p w14:paraId="2FF779FB">
            <w:pPr>
              <w:adjustRightInd w:val="0"/>
              <w:snapToGrid w:val="0"/>
              <w:jc w:val="center"/>
              <w:rPr>
                <w:rFonts w:ascii="Times New Roman" w:hAnsi="Times New Roman"/>
                <w:sz w:val="28"/>
                <w:szCs w:val="28"/>
              </w:rPr>
            </w:pPr>
            <w:r>
              <w:rPr>
                <w:rFonts w:hint="eastAsia" w:ascii="Times New Roman" w:hAnsi="Times New Roman"/>
                <w:sz w:val="28"/>
                <w:szCs w:val="28"/>
              </w:rPr>
              <w:t>国家电投国投汇恒(北京)投资控股有限公司</w:t>
            </w:r>
          </w:p>
        </w:tc>
        <w:tc>
          <w:tcPr>
            <w:tcW w:w="1728" w:type="dxa"/>
            <w:vAlign w:val="center"/>
          </w:tcPr>
          <w:p w14:paraId="440F583E">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restart"/>
            <w:vAlign w:val="center"/>
          </w:tcPr>
          <w:p w14:paraId="1BB915FF">
            <w:pPr>
              <w:adjustRightInd w:val="0"/>
              <w:snapToGrid w:val="0"/>
              <w:jc w:val="center"/>
              <w:rPr>
                <w:rFonts w:ascii="Times New Roman" w:hAnsi="Times New Roman"/>
                <w:sz w:val="28"/>
                <w:szCs w:val="28"/>
              </w:rPr>
            </w:pPr>
            <w:r>
              <w:rPr>
                <w:rFonts w:hint="eastAsia" w:ascii="Times New Roman" w:hAnsi="Times New Roman"/>
                <w:sz w:val="28"/>
                <w:szCs w:val="28"/>
              </w:rPr>
              <w:t>项目定位与选址、主体设施、核心功能区、温控系统、道路及动线、作业设备、能源与节能环保、安全与卫生、信息化与智能化</w:t>
            </w:r>
          </w:p>
        </w:tc>
        <w:tc>
          <w:tcPr>
            <w:tcW w:w="1893" w:type="dxa"/>
            <w:vAlign w:val="center"/>
          </w:tcPr>
          <w:p w14:paraId="268D9874">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7E7D7EF3">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0BE489F3">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2</w:t>
            </w:r>
          </w:p>
        </w:tc>
        <w:tc>
          <w:tcPr>
            <w:tcW w:w="1958" w:type="dxa"/>
            <w:vAlign w:val="center"/>
          </w:tcPr>
          <w:p w14:paraId="598CE380">
            <w:pPr>
              <w:adjustRightInd w:val="0"/>
              <w:snapToGrid w:val="0"/>
              <w:jc w:val="center"/>
              <w:rPr>
                <w:rFonts w:ascii="Times New Roman" w:hAnsi="Times New Roman"/>
                <w:sz w:val="28"/>
                <w:szCs w:val="28"/>
              </w:rPr>
            </w:pPr>
            <w:r>
              <w:rPr>
                <w:rFonts w:hint="eastAsia" w:ascii="Times New Roman" w:hAnsi="Times New Roman"/>
                <w:sz w:val="28"/>
                <w:szCs w:val="28"/>
              </w:rPr>
              <w:t>甘肃公航旅金融仓储基地限公司</w:t>
            </w:r>
          </w:p>
        </w:tc>
        <w:tc>
          <w:tcPr>
            <w:tcW w:w="1728" w:type="dxa"/>
            <w:vAlign w:val="center"/>
          </w:tcPr>
          <w:p w14:paraId="0D00967F">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6A9A3650">
            <w:pPr>
              <w:adjustRightInd w:val="0"/>
              <w:snapToGrid w:val="0"/>
              <w:jc w:val="center"/>
              <w:rPr>
                <w:rFonts w:ascii="Times New Roman" w:hAnsi="Times New Roman"/>
                <w:sz w:val="28"/>
                <w:szCs w:val="28"/>
              </w:rPr>
            </w:pPr>
          </w:p>
        </w:tc>
        <w:tc>
          <w:tcPr>
            <w:tcW w:w="1893" w:type="dxa"/>
            <w:vAlign w:val="center"/>
          </w:tcPr>
          <w:p w14:paraId="39229366">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22FDF011">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746055A1">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3</w:t>
            </w:r>
          </w:p>
        </w:tc>
        <w:tc>
          <w:tcPr>
            <w:tcW w:w="1958" w:type="dxa"/>
            <w:vAlign w:val="center"/>
          </w:tcPr>
          <w:p w14:paraId="2EC1EAD7">
            <w:pPr>
              <w:adjustRightInd w:val="0"/>
              <w:snapToGrid w:val="0"/>
              <w:jc w:val="center"/>
              <w:rPr>
                <w:rFonts w:ascii="Times New Roman" w:hAnsi="Times New Roman"/>
                <w:sz w:val="28"/>
                <w:szCs w:val="28"/>
              </w:rPr>
            </w:pPr>
            <w:r>
              <w:rPr>
                <w:rFonts w:hint="eastAsia" w:ascii="Times New Roman" w:hAnsi="Times New Roman"/>
                <w:sz w:val="28"/>
                <w:szCs w:val="28"/>
              </w:rPr>
              <w:t>安徽滁州西涧食品有限公司</w:t>
            </w:r>
          </w:p>
        </w:tc>
        <w:tc>
          <w:tcPr>
            <w:tcW w:w="1728" w:type="dxa"/>
            <w:vAlign w:val="center"/>
          </w:tcPr>
          <w:p w14:paraId="605AFC91">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1D9824F0">
            <w:pPr>
              <w:adjustRightInd w:val="0"/>
              <w:snapToGrid w:val="0"/>
              <w:jc w:val="center"/>
              <w:rPr>
                <w:rFonts w:ascii="Times New Roman" w:hAnsi="Times New Roman"/>
                <w:sz w:val="28"/>
                <w:szCs w:val="28"/>
              </w:rPr>
            </w:pPr>
          </w:p>
        </w:tc>
        <w:tc>
          <w:tcPr>
            <w:tcW w:w="1893" w:type="dxa"/>
            <w:vAlign w:val="center"/>
          </w:tcPr>
          <w:p w14:paraId="70CDD1FE">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46723FCB">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0FCEEBFD">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4</w:t>
            </w:r>
          </w:p>
        </w:tc>
        <w:tc>
          <w:tcPr>
            <w:tcW w:w="1958" w:type="dxa"/>
            <w:vAlign w:val="center"/>
          </w:tcPr>
          <w:p w14:paraId="104003F5">
            <w:pPr>
              <w:adjustRightInd w:val="0"/>
              <w:snapToGrid w:val="0"/>
              <w:jc w:val="center"/>
              <w:rPr>
                <w:rFonts w:ascii="Times New Roman" w:hAnsi="Times New Roman"/>
                <w:sz w:val="28"/>
                <w:szCs w:val="28"/>
              </w:rPr>
            </w:pPr>
            <w:r>
              <w:rPr>
                <w:rFonts w:hint="eastAsia" w:ascii="Times New Roman" w:hAnsi="Times New Roman"/>
                <w:sz w:val="28"/>
                <w:szCs w:val="28"/>
              </w:rPr>
              <w:t>万纬冷链</w:t>
            </w:r>
          </w:p>
        </w:tc>
        <w:tc>
          <w:tcPr>
            <w:tcW w:w="1728" w:type="dxa"/>
            <w:vAlign w:val="center"/>
          </w:tcPr>
          <w:p w14:paraId="02E48694">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140B9490">
            <w:pPr>
              <w:adjustRightInd w:val="0"/>
              <w:snapToGrid w:val="0"/>
              <w:jc w:val="center"/>
              <w:rPr>
                <w:rFonts w:ascii="Times New Roman" w:hAnsi="Times New Roman"/>
                <w:sz w:val="28"/>
                <w:szCs w:val="28"/>
              </w:rPr>
            </w:pPr>
          </w:p>
        </w:tc>
        <w:tc>
          <w:tcPr>
            <w:tcW w:w="1893" w:type="dxa"/>
            <w:vAlign w:val="center"/>
          </w:tcPr>
          <w:p w14:paraId="1B4F2605">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69C29C5A">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04272FFE">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5</w:t>
            </w:r>
          </w:p>
        </w:tc>
        <w:tc>
          <w:tcPr>
            <w:tcW w:w="1958" w:type="dxa"/>
            <w:vAlign w:val="center"/>
          </w:tcPr>
          <w:p w14:paraId="6E68D1E0">
            <w:pPr>
              <w:adjustRightInd w:val="0"/>
              <w:snapToGrid w:val="0"/>
              <w:jc w:val="center"/>
              <w:rPr>
                <w:rFonts w:ascii="Times New Roman" w:hAnsi="Times New Roman"/>
                <w:sz w:val="28"/>
                <w:szCs w:val="28"/>
              </w:rPr>
            </w:pPr>
            <w:r>
              <w:rPr>
                <w:rFonts w:hint="eastAsia" w:ascii="Times New Roman" w:hAnsi="Times New Roman"/>
                <w:sz w:val="28"/>
                <w:szCs w:val="28"/>
              </w:rPr>
              <w:t>苏州憨云科技有限公司</w:t>
            </w:r>
          </w:p>
        </w:tc>
        <w:tc>
          <w:tcPr>
            <w:tcW w:w="1728" w:type="dxa"/>
            <w:vAlign w:val="center"/>
          </w:tcPr>
          <w:p w14:paraId="46487DD4">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661006CE">
            <w:pPr>
              <w:adjustRightInd w:val="0"/>
              <w:snapToGrid w:val="0"/>
              <w:jc w:val="center"/>
              <w:rPr>
                <w:rFonts w:ascii="Times New Roman" w:hAnsi="Times New Roman"/>
                <w:sz w:val="28"/>
                <w:szCs w:val="28"/>
              </w:rPr>
            </w:pPr>
          </w:p>
        </w:tc>
        <w:tc>
          <w:tcPr>
            <w:tcW w:w="1893" w:type="dxa"/>
            <w:vAlign w:val="center"/>
          </w:tcPr>
          <w:p w14:paraId="0FE1F00B">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200E6BBD">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263193F9">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6</w:t>
            </w:r>
          </w:p>
        </w:tc>
        <w:tc>
          <w:tcPr>
            <w:tcW w:w="1958" w:type="dxa"/>
            <w:vAlign w:val="center"/>
          </w:tcPr>
          <w:p w14:paraId="15A94373">
            <w:pPr>
              <w:adjustRightInd w:val="0"/>
              <w:snapToGrid w:val="0"/>
              <w:jc w:val="center"/>
              <w:rPr>
                <w:rFonts w:ascii="Times New Roman" w:hAnsi="Times New Roman"/>
                <w:sz w:val="28"/>
                <w:szCs w:val="28"/>
              </w:rPr>
            </w:pPr>
            <w:r>
              <w:rPr>
                <w:rFonts w:hint="eastAsia" w:ascii="Times New Roman" w:hAnsi="Times New Roman"/>
                <w:sz w:val="28"/>
                <w:szCs w:val="28"/>
              </w:rPr>
              <w:t>衢州智慧冷链开发有限公司</w:t>
            </w:r>
          </w:p>
        </w:tc>
        <w:tc>
          <w:tcPr>
            <w:tcW w:w="1728" w:type="dxa"/>
            <w:vAlign w:val="center"/>
          </w:tcPr>
          <w:p w14:paraId="0DA08016">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4726A280">
            <w:pPr>
              <w:adjustRightInd w:val="0"/>
              <w:snapToGrid w:val="0"/>
              <w:jc w:val="center"/>
              <w:rPr>
                <w:rFonts w:ascii="Times New Roman" w:hAnsi="Times New Roman"/>
                <w:sz w:val="28"/>
                <w:szCs w:val="28"/>
              </w:rPr>
            </w:pPr>
          </w:p>
        </w:tc>
        <w:tc>
          <w:tcPr>
            <w:tcW w:w="1893" w:type="dxa"/>
            <w:vAlign w:val="center"/>
          </w:tcPr>
          <w:p w14:paraId="5050FABC">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5B7F8385">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271B8489">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7</w:t>
            </w:r>
          </w:p>
        </w:tc>
        <w:tc>
          <w:tcPr>
            <w:tcW w:w="1958" w:type="dxa"/>
            <w:vAlign w:val="center"/>
          </w:tcPr>
          <w:p w14:paraId="3E9ADDBD">
            <w:pPr>
              <w:adjustRightInd w:val="0"/>
              <w:snapToGrid w:val="0"/>
              <w:jc w:val="center"/>
              <w:rPr>
                <w:rFonts w:ascii="Times New Roman" w:hAnsi="Times New Roman"/>
                <w:sz w:val="28"/>
                <w:szCs w:val="28"/>
              </w:rPr>
            </w:pPr>
            <w:r>
              <w:rPr>
                <w:rFonts w:hint="eastAsia" w:ascii="Times New Roman" w:hAnsi="Times New Roman"/>
                <w:sz w:val="28"/>
                <w:szCs w:val="28"/>
              </w:rPr>
              <w:t>厦门中远海运冷链物流有限公司</w:t>
            </w:r>
          </w:p>
        </w:tc>
        <w:tc>
          <w:tcPr>
            <w:tcW w:w="1728" w:type="dxa"/>
            <w:vAlign w:val="center"/>
          </w:tcPr>
          <w:p w14:paraId="035D71B6">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39187CDB">
            <w:pPr>
              <w:adjustRightInd w:val="0"/>
              <w:snapToGrid w:val="0"/>
              <w:jc w:val="center"/>
              <w:rPr>
                <w:rFonts w:ascii="Times New Roman" w:hAnsi="Times New Roman"/>
                <w:sz w:val="28"/>
                <w:szCs w:val="28"/>
              </w:rPr>
            </w:pPr>
          </w:p>
        </w:tc>
        <w:tc>
          <w:tcPr>
            <w:tcW w:w="1893" w:type="dxa"/>
            <w:vAlign w:val="center"/>
          </w:tcPr>
          <w:p w14:paraId="1D46D60E">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3FD9EFAE">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61B82CF4">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8</w:t>
            </w:r>
          </w:p>
        </w:tc>
        <w:tc>
          <w:tcPr>
            <w:tcW w:w="1958" w:type="dxa"/>
            <w:vAlign w:val="center"/>
          </w:tcPr>
          <w:p w14:paraId="56249F42">
            <w:pPr>
              <w:adjustRightInd w:val="0"/>
              <w:snapToGrid w:val="0"/>
              <w:jc w:val="center"/>
              <w:rPr>
                <w:rFonts w:ascii="Times New Roman" w:hAnsi="Times New Roman"/>
                <w:sz w:val="28"/>
                <w:szCs w:val="28"/>
              </w:rPr>
            </w:pPr>
            <w:r>
              <w:rPr>
                <w:rFonts w:hint="eastAsia" w:ascii="Times New Roman" w:hAnsi="Times New Roman"/>
                <w:sz w:val="28"/>
                <w:szCs w:val="28"/>
              </w:rPr>
              <w:t>浙江德业环境电器有限公司</w:t>
            </w:r>
          </w:p>
        </w:tc>
        <w:tc>
          <w:tcPr>
            <w:tcW w:w="1728" w:type="dxa"/>
            <w:vAlign w:val="center"/>
          </w:tcPr>
          <w:p w14:paraId="7CD641FC">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3B1CD19F">
            <w:pPr>
              <w:adjustRightInd w:val="0"/>
              <w:snapToGrid w:val="0"/>
              <w:jc w:val="center"/>
              <w:rPr>
                <w:rFonts w:ascii="Times New Roman" w:hAnsi="Times New Roman"/>
                <w:sz w:val="28"/>
                <w:szCs w:val="28"/>
              </w:rPr>
            </w:pPr>
          </w:p>
        </w:tc>
        <w:tc>
          <w:tcPr>
            <w:tcW w:w="1893" w:type="dxa"/>
            <w:vAlign w:val="center"/>
          </w:tcPr>
          <w:p w14:paraId="79308754">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r w14:paraId="681A9014">
        <w:tblPrEx>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Ex>
        <w:trPr>
          <w:trHeight w:val="449" w:hRule="atLeast"/>
        </w:trPr>
        <w:tc>
          <w:tcPr>
            <w:tcW w:w="817" w:type="dxa"/>
            <w:vAlign w:val="center"/>
          </w:tcPr>
          <w:p w14:paraId="6E1C4ACE">
            <w:pPr>
              <w:adjustRightInd w:val="0"/>
              <w:snapToGrid w:val="0"/>
              <w:jc w:val="center"/>
              <w:rPr>
                <w:rFonts w:ascii="Times New Roman" w:hAnsi="Times New Roman"/>
                <w:b/>
                <w:bCs/>
                <w:sz w:val="28"/>
                <w:szCs w:val="28"/>
              </w:rPr>
            </w:pPr>
            <w:r>
              <w:rPr>
                <w:rFonts w:hint="eastAsia" w:ascii="Times New Roman" w:hAnsi="Times New Roman"/>
                <w:b w:val="0"/>
                <w:bCs w:val="0"/>
                <w:sz w:val="28"/>
                <w:szCs w:val="28"/>
              </w:rPr>
              <w:t>9</w:t>
            </w:r>
          </w:p>
        </w:tc>
        <w:tc>
          <w:tcPr>
            <w:tcW w:w="1958" w:type="dxa"/>
            <w:vAlign w:val="center"/>
          </w:tcPr>
          <w:p w14:paraId="0EE3F10D">
            <w:pPr>
              <w:adjustRightInd w:val="0"/>
              <w:snapToGrid w:val="0"/>
              <w:jc w:val="center"/>
              <w:rPr>
                <w:rFonts w:ascii="Times New Roman" w:hAnsi="Times New Roman"/>
                <w:sz w:val="28"/>
                <w:szCs w:val="28"/>
              </w:rPr>
            </w:pPr>
            <w:r>
              <w:rPr>
                <w:rFonts w:hint="eastAsia" w:ascii="Times New Roman" w:hAnsi="Times New Roman"/>
                <w:sz w:val="28"/>
                <w:szCs w:val="28"/>
              </w:rPr>
              <w:t>红星冷链(湖南)股份</w:t>
            </w:r>
            <w:r>
              <w:rPr>
                <w:sz w:val="28"/>
                <w:szCs w:val="28"/>
              </w:rPr>
              <w:t>有限公司</w:t>
            </w:r>
          </w:p>
        </w:tc>
        <w:tc>
          <w:tcPr>
            <w:tcW w:w="1728" w:type="dxa"/>
            <w:vAlign w:val="center"/>
          </w:tcPr>
          <w:p w14:paraId="3A24AF76">
            <w:pPr>
              <w:adjustRightInd w:val="0"/>
              <w:snapToGrid w:val="0"/>
              <w:jc w:val="center"/>
              <w:rPr>
                <w:rFonts w:ascii="Times New Roman" w:hAnsi="Times New Roman"/>
                <w:sz w:val="28"/>
                <w:szCs w:val="28"/>
              </w:rPr>
            </w:pPr>
            <w:r>
              <w:rPr>
                <w:rFonts w:hint="eastAsia" w:ascii="Times New Roman" w:hAnsi="Times New Roman"/>
                <w:sz w:val="28"/>
                <w:szCs w:val="28"/>
              </w:rPr>
              <w:t>实地考察</w:t>
            </w:r>
          </w:p>
        </w:tc>
        <w:tc>
          <w:tcPr>
            <w:tcW w:w="2126" w:type="dxa"/>
            <w:vMerge w:val="continue"/>
            <w:vAlign w:val="center"/>
          </w:tcPr>
          <w:p w14:paraId="29733C76">
            <w:pPr>
              <w:adjustRightInd w:val="0"/>
              <w:snapToGrid w:val="0"/>
              <w:jc w:val="center"/>
              <w:rPr>
                <w:rFonts w:ascii="Times New Roman" w:hAnsi="Times New Roman"/>
                <w:sz w:val="28"/>
                <w:szCs w:val="28"/>
              </w:rPr>
            </w:pPr>
          </w:p>
        </w:tc>
        <w:tc>
          <w:tcPr>
            <w:tcW w:w="1893" w:type="dxa"/>
            <w:vAlign w:val="center"/>
          </w:tcPr>
          <w:p w14:paraId="57BB6FF7">
            <w:pPr>
              <w:adjustRightInd w:val="0"/>
              <w:snapToGrid w:val="0"/>
              <w:jc w:val="center"/>
              <w:rPr>
                <w:rFonts w:ascii="Times New Roman" w:hAnsi="Times New Roman"/>
                <w:sz w:val="28"/>
                <w:szCs w:val="28"/>
              </w:rPr>
            </w:pPr>
            <w:r>
              <w:rPr>
                <w:rFonts w:hint="eastAsia" w:ascii="Times New Roman" w:hAnsi="Times New Roman"/>
                <w:sz w:val="28"/>
                <w:szCs w:val="28"/>
              </w:rPr>
              <w:t>符合</w:t>
            </w:r>
          </w:p>
        </w:tc>
      </w:tr>
    </w:tbl>
    <w:p w14:paraId="46404797">
      <w:pPr>
        <w:outlineLvl w:val="0"/>
        <w:rPr>
          <w:rFonts w:hint="eastAsia" w:ascii="黑体" w:hAnsi="黑体" w:eastAsia="黑体" w:cs="黑体"/>
          <w:sz w:val="32"/>
          <w:szCs w:val="32"/>
        </w:rPr>
      </w:pPr>
      <w:r>
        <w:rPr>
          <w:rFonts w:hint="eastAsia" w:ascii="黑体" w:hAnsi="黑体" w:eastAsia="黑体" w:cs="黑体"/>
          <w:sz w:val="32"/>
          <w:szCs w:val="32"/>
        </w:rPr>
        <w:t>四、采用国际标准和国外先进标准的程度，以及与国际、国外同类标准水平的对比情况</w:t>
      </w:r>
    </w:p>
    <w:p w14:paraId="42FDEAA6">
      <w:pPr>
        <w:ind w:firstLine="640" w:firstLineChars="200"/>
        <w:rPr>
          <w:rFonts w:ascii="Times New Roman" w:hAnsi="Times New Roman"/>
          <w:sz w:val="32"/>
          <w:szCs w:val="32"/>
        </w:rPr>
      </w:pPr>
      <w:r>
        <w:rPr>
          <w:rFonts w:ascii="Times New Roman" w:hAnsi="Times New Roman"/>
          <w:sz w:val="32"/>
          <w:szCs w:val="32"/>
        </w:rPr>
        <w:t>食品低温配送中心的规划设计与各国和地区的食品消费结构、冷链物流发展水平、基础设施条件、能源结构、建筑规范、食品安全监管要求和运营模式密切相关。我国食品低温配送中心具有多温区、多品类、高频配送、仓配一体化和数字化转型加快等特点。因此，本标准立足我国冷链物流行业实际，结合国内相关法律法规、强制性国家标准和基础标准制定。</w:t>
      </w:r>
    </w:p>
    <w:p w14:paraId="297422B6">
      <w:pPr>
        <w:ind w:firstLine="640" w:firstLineChars="200"/>
        <w:rPr>
          <w:rFonts w:ascii="Times New Roman" w:hAnsi="Times New Roman"/>
          <w:sz w:val="32"/>
          <w:szCs w:val="32"/>
        </w:rPr>
      </w:pPr>
      <w:r>
        <w:rPr>
          <w:rFonts w:ascii="Times New Roman" w:hAnsi="Times New Roman"/>
          <w:sz w:val="32"/>
          <w:szCs w:val="32"/>
        </w:rPr>
        <w:t>本标准未采用国际标准，不影响其技术先进性和适用性。标准在冷链温控、食品卫生、自动化设备、能源管理、信息化控制和追溯管理等方面吸收了行业实践中成熟、适用的技术和管理经验。</w:t>
      </w:r>
    </w:p>
    <w:p w14:paraId="1AE1E277">
      <w:pPr>
        <w:ind w:firstLine="640" w:firstLineChars="200"/>
        <w:rPr>
          <w:rFonts w:ascii="Times New Roman" w:hAnsi="Times New Roman"/>
          <w:sz w:val="32"/>
          <w:szCs w:val="32"/>
        </w:rPr>
      </w:pPr>
      <w:r>
        <w:rPr>
          <w:rFonts w:hint="eastAsia" w:ascii="Times New Roman" w:hAnsi="Times New Roman"/>
          <w:sz w:val="32"/>
          <w:szCs w:val="32"/>
        </w:rPr>
        <w:t>本次修订坚持“突出配送功能、强化温控保障、兼顾安全卫生、促进绿色低碳和智能化发展”的总体思路，在保持原标准基本定位和适用范围的基础上，对标准结构、术语、功能区设置、温控系统、能源保障、设施设备和信息化管理等内容进行了较大幅度优化。</w:t>
      </w:r>
    </w:p>
    <w:p w14:paraId="66B9BAD5">
      <w:pPr>
        <w:ind w:firstLine="640" w:firstLineChars="200"/>
        <w:rPr>
          <w:rFonts w:ascii="Times New Roman" w:hAnsi="Times New Roman"/>
          <w:sz w:val="32"/>
          <w:szCs w:val="32"/>
        </w:rPr>
      </w:pPr>
      <w:r>
        <w:rPr>
          <w:rFonts w:hint="eastAsia" w:ascii="Times New Roman" w:hAnsi="Times New Roman"/>
          <w:sz w:val="32"/>
          <w:szCs w:val="32"/>
        </w:rPr>
        <w:t>起草组重点研究并解决了以下问题：</w:t>
      </w:r>
    </w:p>
    <w:p w14:paraId="7E4161C8">
      <w:pPr>
        <w:ind w:firstLine="640" w:firstLineChars="200"/>
        <w:rPr>
          <w:rFonts w:ascii="Times New Roman" w:hAnsi="Times New Roman"/>
          <w:sz w:val="32"/>
          <w:szCs w:val="32"/>
        </w:rPr>
      </w:pPr>
      <w:r>
        <w:rPr>
          <w:rFonts w:hint="eastAsia" w:ascii="Times New Roman" w:hAnsi="Times New Roman"/>
          <w:sz w:val="32"/>
          <w:szCs w:val="32"/>
        </w:rPr>
        <w:t>（1）突出食品低温配送中心的综合服务属性。针对原标准侧重冷库及站台设置、对配送中心综合作业属性体现不足的问题，本次修订进一步明确食品低温配送中心不仅承担食品存储功能，还可根据业务需要设置收发货、预冷、分拣、流通加工、检测、暂存、装卸、充电和配套服务等功能区域，体现食品低温配送中心仓储、分拨、加工、配送和信息服务一体化的发展趋势。</w:t>
      </w:r>
    </w:p>
    <w:p w14:paraId="2D511EC8">
      <w:pPr>
        <w:ind w:firstLine="640" w:firstLineChars="200"/>
        <w:rPr>
          <w:rFonts w:ascii="Times New Roman" w:hAnsi="Times New Roman"/>
          <w:sz w:val="32"/>
          <w:szCs w:val="32"/>
        </w:rPr>
      </w:pPr>
      <w:r>
        <w:rPr>
          <w:rFonts w:hint="eastAsia" w:ascii="Times New Roman" w:hAnsi="Times New Roman"/>
          <w:sz w:val="32"/>
          <w:szCs w:val="32"/>
        </w:rPr>
        <w:t>（2）优化主体设施和功能区的关系。针对冷库、控温封闭站台、作业车间、检测用房及附属配套用房之间的关系不够清晰的问题，修订稿从运营需求出发，对主体设施和核心功能区进行统筹规划。冷库作为食品存储主体，控温封闭站台及相关连接设施作为对外收发货和配送衔接主体，可根据项目规模、食品类别、作业模式和建设条件一体化设置或分别设置，避免将食品低温配送中心简单理解为“冷库加站台”的单一设施。</w:t>
      </w:r>
    </w:p>
    <w:p w14:paraId="1C16B281">
      <w:pPr>
        <w:ind w:firstLine="640" w:firstLineChars="200"/>
        <w:rPr>
          <w:rFonts w:ascii="Times New Roman" w:hAnsi="Times New Roman"/>
          <w:sz w:val="32"/>
          <w:szCs w:val="32"/>
        </w:rPr>
      </w:pPr>
      <w:r>
        <w:rPr>
          <w:rFonts w:hint="eastAsia" w:ascii="Times New Roman" w:hAnsi="Times New Roman"/>
          <w:sz w:val="32"/>
          <w:szCs w:val="32"/>
        </w:rPr>
        <w:t>（3）完善核心功能区和异常食品处置要求。在原有收发货区、存储区、流通加工区、分拣区、待发暂存区、装卸作业区和检测区基础上，增加预冷区、充电区、附属配套区及不良品暂存区等内容。明确不良品暂存区主要用于存放过期、变质、包装破损或其他不具备销售条件的食品，应采取隔离、明显标识和防止交叉污染等措施；对于可再销售的退货食品、错发返回食品及其他需进一步判定或转运的食品，可结合实际纳入暂存区管理。通过优化功能区划分，提升异常食品处置的规范性和食品安全保障能力。</w:t>
      </w:r>
    </w:p>
    <w:p w14:paraId="2DCABC28">
      <w:pPr>
        <w:ind w:firstLine="640" w:firstLineChars="200"/>
        <w:rPr>
          <w:rFonts w:ascii="Times New Roman" w:hAnsi="Times New Roman"/>
          <w:sz w:val="32"/>
          <w:szCs w:val="32"/>
        </w:rPr>
      </w:pPr>
      <w:r>
        <w:rPr>
          <w:rFonts w:hint="eastAsia" w:ascii="Times New Roman" w:hAnsi="Times New Roman"/>
          <w:sz w:val="32"/>
          <w:szCs w:val="32"/>
        </w:rPr>
        <w:t>（4）将“封闭低温站台”调整为“控温封闭站台”。为与现行冷库设计相关标准和行业通用表述相协调，修订稿将原“封闭低温站台”调整为“控温封闭站台”，突出该区域全封闭、具有人工制冷或温度调控能力、可承担收发货、分拣和待发暂存等作业的特点。同时，补充站台围护结构保温隔热、气密性、防潮防霉，以及装卸门、门封、登车桥、快速门、空气幕和温控设备联动控制等要求，以减少门区冷量损失、结露风险和食品暴露时间。</w:t>
      </w:r>
    </w:p>
    <w:p w14:paraId="55A11456">
      <w:pPr>
        <w:ind w:firstLine="640" w:firstLineChars="200"/>
        <w:rPr>
          <w:rFonts w:ascii="Times New Roman" w:hAnsi="Times New Roman"/>
          <w:sz w:val="32"/>
          <w:szCs w:val="32"/>
        </w:rPr>
      </w:pPr>
      <w:r>
        <w:rPr>
          <w:rFonts w:hint="eastAsia" w:ascii="Times New Roman" w:hAnsi="Times New Roman"/>
          <w:sz w:val="32"/>
          <w:szCs w:val="32"/>
        </w:rPr>
        <w:t>（5）新增温控系统规划要求。针对原标准主要关注温区设置、对温控系统规划及全过程温度保障要求不足的问题，修订稿增加温控系统相关内容，明确应根据食品类别、业务形态和温湿度要求，统筹规划制冷系统、温湿度监测设备、数据采集点、异常报警、信息记录、数据备存及温度失控应急处置条件。温区划分宜参考GB/T 28577的有关规定，并结合食品标签标示、相关食品安全标准和实际业务需求合理确定。</w:t>
      </w:r>
    </w:p>
    <w:p w14:paraId="1F95FDDD">
      <w:pPr>
        <w:ind w:firstLine="640" w:firstLineChars="200"/>
        <w:rPr>
          <w:rFonts w:ascii="Times New Roman" w:hAnsi="Times New Roman"/>
          <w:sz w:val="32"/>
          <w:szCs w:val="32"/>
        </w:rPr>
      </w:pPr>
      <w:r>
        <w:rPr>
          <w:rFonts w:hint="eastAsia" w:ascii="Times New Roman" w:hAnsi="Times New Roman"/>
          <w:sz w:val="32"/>
          <w:szCs w:val="32"/>
        </w:rPr>
        <w:t>（6）取消独立“流程规划”章节，强化道路及动线规划。起草组经研究认为，正向流程、逆向流程和异常事件处置流程中部分内容偏向运营管理，不宜作为规划设计指南中的独立章节。因此，修订稿不再单独设置“流程规划”章节。与场地布局直接相关的内容，如正向物流与逆向物流、人流与物流、正常品与异常品、生品与熟品、洁净物与污染物的分隔要求，纳入道路及动线、核心功能区和安全卫生等章节统筹规定。物流动线宜采用单向循环方式；人流动线可与物流动线并行设置，但应采取有效分隔、醒目标识及必要的安全防护措施。</w:t>
      </w:r>
    </w:p>
    <w:p w14:paraId="5838B9DC">
      <w:pPr>
        <w:ind w:firstLine="640" w:firstLineChars="200"/>
        <w:rPr>
          <w:rFonts w:ascii="Times New Roman" w:hAnsi="Times New Roman"/>
          <w:sz w:val="32"/>
          <w:szCs w:val="32"/>
        </w:rPr>
      </w:pPr>
      <w:r>
        <w:rPr>
          <w:rFonts w:hint="eastAsia" w:ascii="Times New Roman" w:hAnsi="Times New Roman"/>
          <w:sz w:val="32"/>
          <w:szCs w:val="32"/>
        </w:rPr>
        <w:t>（7）增加能源规划、节能与环保相关内容。针对低温配送中心制冷系统、自动化设备、流通加工设备、照明系统、电动搬运设备和新能源配送车辆等用能需求不断增长，以及部分项目存在电力增容困难、能源保障不足等问题，修订稿增加能源规划内容，提出统筹规划供配电、制冷、给排水、储能和新能源接入条件，并预留设备扩容条件。鼓励结合屋面条件、当地日照资源和并网条件合理采用分布式光伏发电、电力储能、热回收、地源热泵、变频制冷和智慧能源管理等技术。对电动配送车辆和搬运设备充电设施，提出宜在室外停车区域或独立专用区域集中设置，并统筹考虑通风、消防、应急断电、防撞、监控报警和人员车辆分流等要求。</w:t>
      </w:r>
    </w:p>
    <w:p w14:paraId="133F1E11">
      <w:pPr>
        <w:ind w:firstLine="640" w:firstLineChars="200"/>
        <w:rPr>
          <w:rFonts w:ascii="Times New Roman" w:hAnsi="Times New Roman"/>
          <w:sz w:val="32"/>
          <w:szCs w:val="32"/>
        </w:rPr>
      </w:pPr>
      <w:r>
        <w:rPr>
          <w:rFonts w:hint="eastAsia" w:ascii="Times New Roman" w:hAnsi="Times New Roman"/>
          <w:sz w:val="32"/>
          <w:szCs w:val="32"/>
        </w:rPr>
        <w:t>（8）强化安全与卫生规划。修订稿将食品安全、人员安全、设施设备安全和应急保障要求纳入规划设计全过程，补充双回路供电、备用电源或应急供电、制冷系统冗余、安全警示、防滑、防撞、应急照明、防困人、清洁消毒、排水通风、废弃物暂存、防鼠防虫防蝇等内容。对于安全培训、定期维修、专职安全管理人员配置等偏运营管理的要求，不作为本文件重点规定内容。</w:t>
      </w:r>
    </w:p>
    <w:p w14:paraId="7771304A">
      <w:pPr>
        <w:ind w:firstLine="640" w:firstLineChars="200"/>
        <w:rPr>
          <w:rFonts w:ascii="Times New Roman" w:hAnsi="Times New Roman"/>
          <w:sz w:val="32"/>
          <w:szCs w:val="32"/>
        </w:rPr>
      </w:pPr>
      <w:r>
        <w:rPr>
          <w:rFonts w:hint="eastAsia" w:ascii="Times New Roman" w:hAnsi="Times New Roman"/>
          <w:sz w:val="32"/>
          <w:szCs w:val="32"/>
        </w:rPr>
        <w:t>（9）更新设施设备和信息化、智能化内容。修订稿在原有货架、叉车、手动搬运车、输送设备、电子标签、手持扫描设备、包装机和贴标机等内容基础上，补充自动化立体存储系统、四向穿梭车密集存储系统、自动导引车（AGV）、自主移动机器人（AMR）、笼车、预冷设备、网络设备和物联网设备等内容。同时，完善仓库管理系统（WMS）、运输管理系统（TMS）、订单管理系统（OMS）、仓储控制系统（WCS）、车辆及人员管理系统、视频监控、智能识别、自动化仓储、智慧能源和食品冷链追溯等要求，推动信息系统、自动化设备、温控设备和管理系统协同应用。</w:t>
      </w:r>
    </w:p>
    <w:p w14:paraId="5298AF9B">
      <w:pPr>
        <w:ind w:firstLine="640" w:firstLineChars="200"/>
        <w:rPr>
          <w:rFonts w:ascii="Times New Roman" w:hAnsi="Times New Roman"/>
          <w:sz w:val="32"/>
          <w:szCs w:val="32"/>
        </w:rPr>
      </w:pPr>
      <w:r>
        <w:rPr>
          <w:rFonts w:hint="eastAsia" w:ascii="Times New Roman" w:hAnsi="Times New Roman"/>
          <w:sz w:val="32"/>
          <w:szCs w:val="32"/>
        </w:rPr>
        <w:t>（10）优化规范性引用文件和术语定义。修订稿更新了GB 50072、GB/T 28581等规范性引用文件，增加食品冷链物流卫生、食品冷链追溯、物流建筑、仓储设备术语、电动汽车充电站设计等相关标准；删除不适用于本文件定位的冷库施工及验收相关引用文件。术语方面，删除“站台登车桥”“装卸门密封罩”等非本文件核心术语；“流通加工”直接采用GB/T 18354中的定义，不再重复界定；保留“食品低温配送中心”和“控温封闭站台”术语，以突出本文件的适用对象和核心设施特征。</w:t>
      </w:r>
    </w:p>
    <w:p w14:paraId="50969482">
      <w:pPr>
        <w:outlineLvl w:val="0"/>
        <w:rPr>
          <w:rFonts w:hint="eastAsia" w:ascii="黑体" w:hAnsi="黑体" w:eastAsia="黑体" w:cs="黑体"/>
          <w:sz w:val="32"/>
          <w:szCs w:val="32"/>
        </w:rPr>
      </w:pPr>
      <w:r>
        <w:rPr>
          <w:rFonts w:hint="eastAsia" w:ascii="黑体" w:hAnsi="黑体" w:eastAsia="黑体" w:cs="黑体"/>
          <w:sz w:val="32"/>
          <w:szCs w:val="32"/>
        </w:rPr>
        <w:t>五、与有关的现行法律、法规和强制性国家标准的关系</w:t>
      </w:r>
    </w:p>
    <w:p w14:paraId="1009C7F1">
      <w:pPr>
        <w:ind w:firstLine="640" w:firstLineChars="200"/>
        <w:rPr>
          <w:rFonts w:ascii="Times New Roman" w:hAnsi="Times New Roman"/>
          <w:sz w:val="32"/>
          <w:szCs w:val="32"/>
        </w:rPr>
      </w:pPr>
      <w:r>
        <w:rPr>
          <w:rFonts w:hint="eastAsia" w:ascii="Times New Roman" w:hAnsi="Times New Roman"/>
          <w:sz w:val="32"/>
          <w:szCs w:val="32"/>
        </w:rPr>
        <w:t>本标准与《中华人民共和国食品安全法》《中华人民共和国安全生产法》《中华人民共和国建筑法》《中华人民共和国城乡规划法》等法律法规相衔接。</w:t>
      </w:r>
    </w:p>
    <w:p w14:paraId="04D7F9AA">
      <w:pPr>
        <w:ind w:firstLine="640" w:firstLineChars="200"/>
        <w:rPr>
          <w:rFonts w:ascii="Times New Roman" w:hAnsi="Times New Roman"/>
          <w:sz w:val="32"/>
          <w:szCs w:val="32"/>
        </w:rPr>
      </w:pPr>
      <w:r>
        <w:rPr>
          <w:rFonts w:hint="eastAsia" w:ascii="Times New Roman" w:hAnsi="Times New Roman"/>
          <w:sz w:val="32"/>
          <w:szCs w:val="32"/>
        </w:rPr>
        <w:t>本标准与食品安全相关法律法规相衔接，在温控系统、功能区设置、流通加工、清洁消毒、检测、不良品暂存、信息记录和追溯管理等方面提出规划设计建议，为食品低温配送中心食品安全管理提供技术支撑。</w:t>
      </w:r>
    </w:p>
    <w:p w14:paraId="2B6859B1">
      <w:pPr>
        <w:ind w:firstLine="640" w:firstLineChars="200"/>
        <w:rPr>
          <w:rFonts w:ascii="Times New Roman" w:hAnsi="Times New Roman"/>
          <w:sz w:val="32"/>
          <w:szCs w:val="32"/>
        </w:rPr>
      </w:pPr>
      <w:r>
        <w:rPr>
          <w:rFonts w:hint="eastAsia" w:ascii="Times New Roman" w:hAnsi="Times New Roman"/>
          <w:sz w:val="32"/>
          <w:szCs w:val="32"/>
        </w:rPr>
        <w:t>本标准与安全生产相关法律法规相衔接，在建筑防火、供电保障、设施设备点检、安全培训、警示标识、安全管理制度和安全管理人员配置等方面提出相关建议，有利于降低食品低温配送中心作业安全风险。</w:t>
      </w:r>
    </w:p>
    <w:p w14:paraId="55967F82">
      <w:pPr>
        <w:ind w:firstLine="640" w:firstLineChars="200"/>
        <w:rPr>
          <w:rFonts w:ascii="Times New Roman" w:hAnsi="Times New Roman"/>
          <w:sz w:val="32"/>
          <w:szCs w:val="32"/>
        </w:rPr>
      </w:pPr>
      <w:r>
        <w:rPr>
          <w:rFonts w:hint="eastAsia" w:ascii="Times New Roman" w:hAnsi="Times New Roman"/>
          <w:sz w:val="32"/>
          <w:szCs w:val="32"/>
        </w:rPr>
        <w:t>本标准与建筑和城乡规划相关法律法规相衔接，在项目选址、总体规划、冷库建筑、站台、道路及动线等方面提出规划设计建议，有利于保障食品低温配送中心建设的合规性和合理性。</w:t>
      </w:r>
    </w:p>
    <w:p w14:paraId="54D71923">
      <w:pPr>
        <w:ind w:firstLine="640" w:firstLineChars="200"/>
        <w:rPr>
          <w:rFonts w:ascii="Times New Roman" w:hAnsi="Times New Roman"/>
          <w:sz w:val="32"/>
          <w:szCs w:val="32"/>
        </w:rPr>
      </w:pPr>
      <w:r>
        <w:rPr>
          <w:rFonts w:hint="eastAsia" w:ascii="Times New Roman" w:hAnsi="Times New Roman"/>
          <w:sz w:val="32"/>
          <w:szCs w:val="32"/>
        </w:rPr>
        <w:t>本标准与GB 50016《建筑设计防火规范》、GB 50072《冷库设计标准》、GB 14881《食品安全国家标准 食品生产通用卫生规范》、GB 31605《食品安全国家标准 食品冷链物流卫生规范》、GB 31621《食品安全国家标准 食品经营过程卫生规范》等强制性国家标准及相关标准协调一致。</w:t>
      </w:r>
    </w:p>
    <w:p w14:paraId="12547873">
      <w:pPr>
        <w:ind w:firstLine="640" w:firstLineChars="200"/>
        <w:rPr>
          <w:rFonts w:ascii="Times New Roman" w:hAnsi="Times New Roman"/>
          <w:sz w:val="32"/>
          <w:szCs w:val="32"/>
        </w:rPr>
      </w:pPr>
      <w:r>
        <w:rPr>
          <w:rFonts w:hint="eastAsia" w:ascii="Times New Roman" w:hAnsi="Times New Roman"/>
          <w:sz w:val="32"/>
          <w:szCs w:val="32"/>
        </w:rPr>
        <w:t>本标准为推荐性国家标准，不替代、不降低相关法律法规和强制性国家标准的要求。当本标准与法律法规、强制性国家标准不一致时，应以法律法规和强制性国家标准的要求为准。</w:t>
      </w:r>
    </w:p>
    <w:p w14:paraId="3BCC2401">
      <w:pPr>
        <w:outlineLvl w:val="0"/>
        <w:rPr>
          <w:rFonts w:hint="eastAsia" w:ascii="黑体" w:hAnsi="黑体" w:eastAsia="黑体" w:cs="黑体"/>
          <w:sz w:val="32"/>
          <w:szCs w:val="32"/>
        </w:rPr>
      </w:pPr>
      <w:r>
        <w:rPr>
          <w:rFonts w:hint="eastAsia" w:ascii="黑体" w:hAnsi="黑体" w:eastAsia="黑体" w:cs="黑体"/>
          <w:sz w:val="32"/>
          <w:szCs w:val="32"/>
        </w:rPr>
        <w:t>六、重大分歧意见的处理经过和依据</w:t>
      </w:r>
    </w:p>
    <w:p w14:paraId="6C61B51A">
      <w:pPr>
        <w:ind w:firstLine="640" w:firstLineChars="200"/>
        <w:rPr>
          <w:rFonts w:ascii="Times New Roman" w:hAnsi="Times New Roman"/>
          <w:sz w:val="32"/>
          <w:szCs w:val="32"/>
        </w:rPr>
      </w:pPr>
      <w:r>
        <w:rPr>
          <w:rFonts w:hint="eastAsia" w:ascii="Times New Roman" w:hAnsi="Times New Roman"/>
          <w:sz w:val="32"/>
          <w:szCs w:val="32"/>
        </w:rPr>
        <w:t>无。</w:t>
      </w:r>
    </w:p>
    <w:p w14:paraId="4B47BE89">
      <w:pPr>
        <w:outlineLvl w:val="0"/>
        <w:rPr>
          <w:rFonts w:hint="eastAsia" w:ascii="黑体" w:hAnsi="黑体" w:eastAsia="黑体" w:cs="黑体"/>
          <w:sz w:val="32"/>
          <w:szCs w:val="32"/>
        </w:rPr>
      </w:pPr>
      <w:r>
        <w:rPr>
          <w:rFonts w:hint="eastAsia" w:ascii="黑体" w:hAnsi="黑体" w:eastAsia="黑体" w:cs="黑体"/>
          <w:sz w:val="32"/>
          <w:szCs w:val="32"/>
        </w:rPr>
        <w:t>七、国家标准作为强制性国家标准或推荐性国家标准的建议</w:t>
      </w:r>
    </w:p>
    <w:p w14:paraId="1EB38272">
      <w:pPr>
        <w:ind w:firstLine="640" w:firstLineChars="200"/>
        <w:rPr>
          <w:rFonts w:ascii="Times New Roman" w:hAnsi="Times New Roman"/>
          <w:sz w:val="32"/>
          <w:szCs w:val="32"/>
        </w:rPr>
      </w:pPr>
      <w:r>
        <w:rPr>
          <w:rFonts w:ascii="Times New Roman" w:hAnsi="Times New Roman"/>
          <w:sz w:val="32"/>
          <w:szCs w:val="32"/>
        </w:rPr>
        <w:t>本标准主要给出食品低温配送中心规划设计的原则、方法和建议，服务于食品低温配送中心的新建、改建和扩建，具有指导性和推荐性。标准内容涉及的食品安全、建筑防火、安全生产、卫生管理等强制性要求，已由相关法律法规和强制性国家标准作出规定。本标准在遵守相关强制性要求的基础上，进一步为不同类型、不同规模、不同运营模式的食品低温配送中心提供规划设计参考，因此建议继续作为推荐性国家标准。</w:t>
      </w:r>
    </w:p>
    <w:p w14:paraId="1A657074">
      <w:pPr>
        <w:outlineLvl w:val="0"/>
        <w:rPr>
          <w:rFonts w:hint="eastAsia" w:ascii="黑体" w:hAnsi="黑体" w:eastAsia="黑体" w:cs="黑体"/>
          <w:sz w:val="32"/>
          <w:szCs w:val="32"/>
        </w:rPr>
      </w:pPr>
      <w:r>
        <w:rPr>
          <w:rFonts w:hint="eastAsia" w:ascii="黑体" w:hAnsi="黑体" w:eastAsia="黑体" w:cs="黑体"/>
          <w:sz w:val="32"/>
          <w:szCs w:val="32"/>
        </w:rPr>
        <w:t>八、贯彻国家标准的要求和措施建议</w:t>
      </w:r>
    </w:p>
    <w:p w14:paraId="4831E147">
      <w:pPr>
        <w:ind w:firstLine="640" w:firstLineChars="200"/>
        <w:rPr>
          <w:rFonts w:ascii="Times New Roman" w:hAnsi="Times New Roman"/>
          <w:sz w:val="32"/>
          <w:szCs w:val="32"/>
        </w:rPr>
      </w:pPr>
      <w:r>
        <w:rPr>
          <w:rFonts w:hint="eastAsia"/>
          <w:color w:val="000000" w:themeColor="text1"/>
          <w:sz w:val="32"/>
          <w:szCs w:val="32"/>
          <w14:textFill>
            <w14:solidFill>
              <w14:schemeClr w14:val="tx1"/>
            </w14:solidFill>
          </w14:textFill>
        </w:rPr>
        <w:t>建议自发布之日起</w:t>
      </w:r>
      <w:r>
        <w:rPr>
          <w:rFonts w:hint="eastAsia"/>
          <w:color w:val="000000" w:themeColor="text1"/>
          <w:sz w:val="32"/>
          <w:szCs w:val="32"/>
          <w:lang w:val="en-US" w:eastAsia="zh-CN"/>
          <w14:textFill>
            <w14:solidFill>
              <w14:schemeClr w14:val="tx1"/>
            </w14:solidFill>
          </w14:textFill>
        </w:rPr>
        <w:t>3</w:t>
      </w:r>
      <w:r>
        <w:rPr>
          <w:rFonts w:hint="eastAsia"/>
          <w:color w:val="000000" w:themeColor="text1"/>
          <w:sz w:val="32"/>
          <w:szCs w:val="32"/>
          <w14:textFill>
            <w14:solidFill>
              <w14:schemeClr w14:val="tx1"/>
            </w14:solidFill>
          </w14:textFill>
        </w:rPr>
        <w:t>个月实施。</w:t>
      </w:r>
    </w:p>
    <w:p w14:paraId="5FE755CC">
      <w:pPr>
        <w:ind w:firstLine="640" w:firstLineChars="200"/>
        <w:rPr>
          <w:rFonts w:ascii="Times New Roman" w:hAnsi="Times New Roman"/>
          <w:sz w:val="32"/>
          <w:szCs w:val="32"/>
        </w:rPr>
      </w:pPr>
      <w:r>
        <w:rPr>
          <w:rFonts w:hint="eastAsia" w:ascii="Times New Roman" w:hAnsi="Times New Roman"/>
          <w:sz w:val="32"/>
          <w:szCs w:val="32"/>
          <w:lang w:val="en-US" w:eastAsia="zh-CN"/>
        </w:rPr>
        <w:t>1.</w:t>
      </w:r>
      <w:r>
        <w:rPr>
          <w:rFonts w:ascii="Times New Roman" w:hAnsi="Times New Roman"/>
          <w:sz w:val="32"/>
          <w:szCs w:val="32"/>
        </w:rPr>
        <w:t>加强标准宣贯。标准发布后，建议由归口技术委员会、行业协会和起草单位联合组织标准宣贯培训，面向冷链物流企业、食品生产经营企业、冷库建设单位、规划设计单位、设施设备供应商和有关管理人员解读标准内容。</w:t>
      </w:r>
    </w:p>
    <w:p w14:paraId="48D356C4">
      <w:pPr>
        <w:ind w:firstLine="640" w:firstLineChars="200"/>
        <w:rPr>
          <w:rFonts w:ascii="Times New Roman" w:hAnsi="Times New Roman"/>
          <w:sz w:val="32"/>
          <w:szCs w:val="32"/>
        </w:rPr>
      </w:pPr>
      <w:r>
        <w:rPr>
          <w:rFonts w:hint="eastAsia" w:ascii="Times New Roman" w:hAnsi="Times New Roman"/>
          <w:sz w:val="32"/>
          <w:szCs w:val="32"/>
          <w:lang w:val="en-US" w:eastAsia="zh-CN"/>
        </w:rPr>
        <w:t>2.</w:t>
      </w:r>
      <w:r>
        <w:rPr>
          <w:rFonts w:ascii="Times New Roman" w:hAnsi="Times New Roman"/>
          <w:sz w:val="32"/>
          <w:szCs w:val="32"/>
        </w:rPr>
        <w:t>推动标准应用。建议将本标准作为食品低温配送中心新建、改建和扩建项目进行规划设计、方案评估、工程咨询和运营优化的重要技术依据。</w:t>
      </w:r>
    </w:p>
    <w:p w14:paraId="6EB46701">
      <w:pPr>
        <w:ind w:firstLine="640" w:firstLineChars="200"/>
        <w:rPr>
          <w:rFonts w:ascii="Times New Roman" w:hAnsi="Times New Roman"/>
          <w:sz w:val="32"/>
          <w:szCs w:val="32"/>
        </w:rPr>
      </w:pPr>
      <w:r>
        <w:rPr>
          <w:rFonts w:hint="eastAsia" w:ascii="Times New Roman" w:hAnsi="Times New Roman"/>
          <w:sz w:val="32"/>
          <w:szCs w:val="32"/>
          <w:lang w:val="en-US" w:eastAsia="zh-CN"/>
        </w:rPr>
        <w:t>3.</w:t>
      </w:r>
      <w:r>
        <w:rPr>
          <w:rFonts w:ascii="Times New Roman" w:hAnsi="Times New Roman"/>
          <w:sz w:val="32"/>
          <w:szCs w:val="32"/>
        </w:rPr>
        <w:t>强化协同实施。建议在项目建设过程中，统筹物流工艺、建筑设计、制冷温控、自动化设备、信息系统、能源管理和食品安全管理，提升标准实施效果。</w:t>
      </w:r>
    </w:p>
    <w:p w14:paraId="19E08E59">
      <w:pPr>
        <w:ind w:firstLine="640" w:firstLineChars="200"/>
        <w:rPr>
          <w:rFonts w:ascii="Times New Roman" w:hAnsi="Times New Roman"/>
          <w:sz w:val="32"/>
          <w:szCs w:val="32"/>
        </w:rPr>
      </w:pPr>
      <w:r>
        <w:rPr>
          <w:rFonts w:hint="eastAsia" w:ascii="Times New Roman" w:hAnsi="Times New Roman"/>
          <w:sz w:val="32"/>
          <w:szCs w:val="32"/>
          <w:lang w:val="en-US" w:eastAsia="zh-CN"/>
        </w:rPr>
        <w:t>4.</w:t>
      </w:r>
      <w:r>
        <w:rPr>
          <w:rFonts w:ascii="Times New Roman" w:hAnsi="Times New Roman"/>
          <w:sz w:val="32"/>
          <w:szCs w:val="32"/>
        </w:rPr>
        <w:t>开展示范推广。建议选择具有代表性的食品低温配送中心开展标准应用，总结形成可复制、可推广的规划设计和运营管理经验。</w:t>
      </w:r>
    </w:p>
    <w:p w14:paraId="16286780">
      <w:pPr>
        <w:ind w:firstLine="640" w:firstLineChars="200"/>
        <w:rPr>
          <w:rFonts w:ascii="Times New Roman" w:hAnsi="Times New Roman"/>
          <w:sz w:val="32"/>
          <w:szCs w:val="32"/>
        </w:rPr>
      </w:pPr>
      <w:r>
        <w:rPr>
          <w:rFonts w:hint="eastAsia" w:ascii="Times New Roman" w:hAnsi="Times New Roman"/>
          <w:sz w:val="32"/>
          <w:szCs w:val="32"/>
          <w:lang w:val="en-US" w:eastAsia="zh-CN"/>
        </w:rPr>
        <w:t>5.</w:t>
      </w:r>
      <w:r>
        <w:rPr>
          <w:rFonts w:ascii="Times New Roman" w:hAnsi="Times New Roman"/>
          <w:sz w:val="32"/>
          <w:szCs w:val="32"/>
        </w:rPr>
        <w:t>跟踪实施效果。建议归口技术委员会和有关单位持续跟踪标准实施情况，收集标准使用过程中发现的问题和意见，为后续标准修订完善提供依据。</w:t>
      </w:r>
    </w:p>
    <w:p w14:paraId="1AC9E176">
      <w:pPr>
        <w:outlineLvl w:val="0"/>
        <w:rPr>
          <w:rFonts w:hint="eastAsia" w:ascii="黑体" w:hAnsi="黑体" w:eastAsia="黑体" w:cs="黑体"/>
          <w:sz w:val="32"/>
          <w:szCs w:val="32"/>
        </w:rPr>
      </w:pPr>
      <w:r>
        <w:rPr>
          <w:rFonts w:hint="eastAsia" w:ascii="黑体" w:hAnsi="黑体" w:eastAsia="黑体" w:cs="黑体"/>
          <w:sz w:val="32"/>
          <w:szCs w:val="32"/>
        </w:rPr>
        <w:t>九、废止现行有关标准的建议</w:t>
      </w:r>
    </w:p>
    <w:p w14:paraId="350B0E90">
      <w:pPr>
        <w:ind w:firstLine="640" w:firstLineChars="200"/>
        <w:rPr>
          <w:rFonts w:ascii="Times New Roman" w:hAnsi="Times New Roman"/>
          <w:sz w:val="32"/>
          <w:szCs w:val="32"/>
        </w:rPr>
      </w:pPr>
      <w:r>
        <w:rPr>
          <w:rFonts w:hint="eastAsia" w:ascii="Times New Roman" w:hAnsi="Times New Roman"/>
          <w:sz w:val="32"/>
          <w:szCs w:val="32"/>
        </w:rPr>
        <w:t>无。</w:t>
      </w:r>
    </w:p>
    <w:p w14:paraId="4DDB1993">
      <w:pPr>
        <w:outlineLvl w:val="0"/>
        <w:rPr>
          <w:rFonts w:hint="eastAsia" w:ascii="黑体" w:hAnsi="黑体" w:eastAsia="黑体" w:cs="黑体"/>
          <w:sz w:val="32"/>
          <w:szCs w:val="32"/>
        </w:rPr>
      </w:pPr>
      <w:r>
        <w:rPr>
          <w:rFonts w:hint="eastAsia" w:ascii="黑体" w:hAnsi="黑体" w:eastAsia="黑体" w:cs="黑体"/>
          <w:sz w:val="32"/>
          <w:szCs w:val="32"/>
        </w:rPr>
        <w:t>十、其他应当说明的事项</w:t>
      </w:r>
    </w:p>
    <w:p w14:paraId="2C7E4763">
      <w:pPr>
        <w:ind w:firstLine="640" w:firstLineChars="200"/>
        <w:rPr>
          <w:rFonts w:ascii="Times New Roman" w:hAnsi="Times New Roman"/>
          <w:sz w:val="32"/>
          <w:szCs w:val="32"/>
        </w:rPr>
      </w:pPr>
      <w:r>
        <w:rPr>
          <w:rFonts w:hint="eastAsia" w:ascii="Times New Roman" w:hAnsi="Times New Roman"/>
          <w:sz w:val="32"/>
          <w:szCs w:val="32"/>
        </w:rPr>
        <w:t>无。</w:t>
      </w:r>
    </w:p>
    <w:p w14:paraId="1CE1A394">
      <w:pPr>
        <w:ind w:firstLine="640" w:firstLineChars="200"/>
        <w:rPr>
          <w:rFonts w:ascii="Times New Roman" w:hAnsi="Times New Roman"/>
          <w:sz w:val="32"/>
          <w:szCs w:val="32"/>
        </w:rPr>
      </w:pPr>
    </w:p>
    <w:p w14:paraId="410EA243">
      <w:pPr>
        <w:ind w:firstLine="640" w:firstLineChars="200"/>
        <w:rPr>
          <w:rFonts w:ascii="Times New Roman" w:hAnsi="Times New Roman"/>
          <w:sz w:val="32"/>
          <w:szCs w:val="32"/>
        </w:rPr>
      </w:pPr>
    </w:p>
    <w:p w14:paraId="2D8C61C5">
      <w:pPr>
        <w:ind w:firstLine="707" w:firstLineChars="221"/>
        <w:rPr>
          <w:rFonts w:ascii="Times New Roman" w:hAnsi="Times New Roman"/>
          <w:sz w:val="32"/>
          <w:szCs w:val="32"/>
        </w:rPr>
      </w:pPr>
      <w:r>
        <w:rPr>
          <w:rFonts w:hint="eastAsia" w:ascii="Times New Roman" w:hAnsi="Times New Roman"/>
          <w:sz w:val="32"/>
          <w:szCs w:val="32"/>
        </w:rPr>
        <w:t>《食品低温配送中心规划设计指南》国家标准起草小组</w:t>
      </w:r>
    </w:p>
    <w:p w14:paraId="0806A64A">
      <w:pPr>
        <w:ind w:firstLine="3683" w:firstLineChars="1151"/>
        <w:rPr>
          <w:rFonts w:ascii="Times New Roman" w:hAnsi="Times New Roman"/>
          <w:sz w:val="32"/>
          <w:szCs w:val="32"/>
        </w:rPr>
      </w:pPr>
      <w:r>
        <w:rPr>
          <w:rFonts w:hint="eastAsia" w:ascii="Times New Roman" w:hAnsi="Times New Roman"/>
          <w:sz w:val="32"/>
          <w:szCs w:val="32"/>
        </w:rPr>
        <w:t>2026年</w:t>
      </w:r>
      <w:r>
        <w:rPr>
          <w:rFonts w:hint="eastAsia" w:ascii="Times New Roman" w:hAnsi="Times New Roman"/>
          <w:sz w:val="32"/>
          <w:szCs w:val="32"/>
          <w:lang w:val="en-US" w:eastAsia="zh-CN"/>
        </w:rPr>
        <w:t>9</w:t>
      </w:r>
      <w:r>
        <w:rPr>
          <w:rFonts w:hint="eastAsia" w:ascii="Times New Roman" w:hAnsi="Times New Roman"/>
          <w:sz w:val="32"/>
          <w:szCs w:val="32"/>
        </w:rPr>
        <w:t>月</w:t>
      </w:r>
      <w:r>
        <w:rPr>
          <w:rFonts w:hint="eastAsia" w:ascii="Times New Roman" w:hAnsi="Times New Roman"/>
          <w:sz w:val="32"/>
          <w:szCs w:val="32"/>
          <w:lang w:val="en-US" w:eastAsia="zh-CN"/>
        </w:rPr>
        <w:t>29</w:t>
      </w:r>
      <w:r>
        <w:rPr>
          <w:rFonts w:hint="eastAsia" w:ascii="Times New Roman" w:hAnsi="Times New Roman"/>
          <w:sz w:val="32"/>
          <w:szCs w:val="32"/>
        </w:rPr>
        <w:t>日</w:t>
      </w:r>
    </w:p>
    <w:p w14:paraId="4F6B4A11">
      <w:pPr>
        <w:ind w:firstLine="640" w:firstLineChars="200"/>
        <w:rPr>
          <w:rFonts w:ascii="Times New Roman" w:hAnsi="Times New Roman"/>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7967E">
    <w:pPr>
      <w:pStyle w:val="3"/>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4B50C">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84B50C">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21"/>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pStyle w:val="22"/>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3E3E0CD0"/>
    <w:multiLevelType w:val="multilevel"/>
    <w:tmpl w:val="3E3E0CD0"/>
    <w:lvl w:ilvl="0" w:tentative="0">
      <w:start w:val="1"/>
      <w:numFmt w:val="decimal"/>
      <w:lvlText w:val="12.%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3E6D0DAC"/>
    <w:multiLevelType w:val="multilevel"/>
    <w:tmpl w:val="3E6D0DAC"/>
    <w:lvl w:ilvl="0" w:tentative="0">
      <w:start w:val="1"/>
      <w:numFmt w:val="decimal"/>
      <w:lvlText w:val="13.%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707F052C"/>
    <w:multiLevelType w:val="multilevel"/>
    <w:tmpl w:val="707F052C"/>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NkZDZkNjFhOTYzZmUxNzc4NmFhOTEwNDM0MDQ5ZmQifQ=="/>
  </w:docVars>
  <w:rsids>
    <w:rsidRoot w:val="3B6644BA"/>
    <w:rsid w:val="00067BA9"/>
    <w:rsid w:val="000A127D"/>
    <w:rsid w:val="000A4B5D"/>
    <w:rsid w:val="000B03BD"/>
    <w:rsid w:val="000B3452"/>
    <w:rsid w:val="000B56A1"/>
    <w:rsid w:val="000C5F04"/>
    <w:rsid w:val="000D59B2"/>
    <w:rsid w:val="000E5995"/>
    <w:rsid w:val="000F1ED7"/>
    <w:rsid w:val="001207EB"/>
    <w:rsid w:val="00122041"/>
    <w:rsid w:val="001313E1"/>
    <w:rsid w:val="00135246"/>
    <w:rsid w:val="001411A9"/>
    <w:rsid w:val="00152502"/>
    <w:rsid w:val="00172216"/>
    <w:rsid w:val="001822A7"/>
    <w:rsid w:val="00196893"/>
    <w:rsid w:val="001B3784"/>
    <w:rsid w:val="001C2C4F"/>
    <w:rsid w:val="0022273C"/>
    <w:rsid w:val="002403F2"/>
    <w:rsid w:val="002D5EBE"/>
    <w:rsid w:val="00320C81"/>
    <w:rsid w:val="00321A15"/>
    <w:rsid w:val="00325F48"/>
    <w:rsid w:val="00354608"/>
    <w:rsid w:val="00410FE8"/>
    <w:rsid w:val="004B64A9"/>
    <w:rsid w:val="005E3015"/>
    <w:rsid w:val="005F6266"/>
    <w:rsid w:val="00644ED2"/>
    <w:rsid w:val="00663094"/>
    <w:rsid w:val="00663354"/>
    <w:rsid w:val="006F073F"/>
    <w:rsid w:val="006F0CC3"/>
    <w:rsid w:val="00745D92"/>
    <w:rsid w:val="0076067F"/>
    <w:rsid w:val="00761E59"/>
    <w:rsid w:val="007830C4"/>
    <w:rsid w:val="007B3DF4"/>
    <w:rsid w:val="007F0375"/>
    <w:rsid w:val="00845BA5"/>
    <w:rsid w:val="008B00DB"/>
    <w:rsid w:val="008C0030"/>
    <w:rsid w:val="008C2456"/>
    <w:rsid w:val="008C5210"/>
    <w:rsid w:val="008D4F3B"/>
    <w:rsid w:val="00901093"/>
    <w:rsid w:val="009029AB"/>
    <w:rsid w:val="009167A1"/>
    <w:rsid w:val="00933203"/>
    <w:rsid w:val="009404A0"/>
    <w:rsid w:val="009F5A66"/>
    <w:rsid w:val="00A30874"/>
    <w:rsid w:val="00A4782D"/>
    <w:rsid w:val="00AF2323"/>
    <w:rsid w:val="00B00D7C"/>
    <w:rsid w:val="00B048EE"/>
    <w:rsid w:val="00B0693C"/>
    <w:rsid w:val="00B65829"/>
    <w:rsid w:val="00B905B9"/>
    <w:rsid w:val="00BA5E8A"/>
    <w:rsid w:val="00BD1C6D"/>
    <w:rsid w:val="00C20BEC"/>
    <w:rsid w:val="00C51687"/>
    <w:rsid w:val="00C826B3"/>
    <w:rsid w:val="00CB77CA"/>
    <w:rsid w:val="00CD1957"/>
    <w:rsid w:val="00CD523C"/>
    <w:rsid w:val="00CD590B"/>
    <w:rsid w:val="00D563B7"/>
    <w:rsid w:val="00DA3B2E"/>
    <w:rsid w:val="00DE10DC"/>
    <w:rsid w:val="00E3090A"/>
    <w:rsid w:val="00E43F3C"/>
    <w:rsid w:val="00EA2350"/>
    <w:rsid w:val="00EF3697"/>
    <w:rsid w:val="00F005BF"/>
    <w:rsid w:val="00F23198"/>
    <w:rsid w:val="00F75157"/>
    <w:rsid w:val="00F7752B"/>
    <w:rsid w:val="00F92ED8"/>
    <w:rsid w:val="00FC2531"/>
    <w:rsid w:val="00FD5778"/>
    <w:rsid w:val="065B1F66"/>
    <w:rsid w:val="08A4283A"/>
    <w:rsid w:val="0BF3754F"/>
    <w:rsid w:val="0F2F5788"/>
    <w:rsid w:val="104B5710"/>
    <w:rsid w:val="15C62CD0"/>
    <w:rsid w:val="17FB2C08"/>
    <w:rsid w:val="209519E1"/>
    <w:rsid w:val="23B75AD9"/>
    <w:rsid w:val="265C1054"/>
    <w:rsid w:val="28E44528"/>
    <w:rsid w:val="29930F11"/>
    <w:rsid w:val="3B6644BA"/>
    <w:rsid w:val="3E3D09DE"/>
    <w:rsid w:val="44AF4552"/>
    <w:rsid w:val="4726798A"/>
    <w:rsid w:val="4D540606"/>
    <w:rsid w:val="4FBD3D43"/>
    <w:rsid w:val="6C156BF9"/>
    <w:rsid w:val="6D5D2568"/>
    <w:rsid w:val="6DF546EB"/>
    <w:rsid w:val="7CD64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Times New Roman" w:hAnsi="Times New Roman" w:cs="Times New Roman"/>
      <w:sz w:val="24"/>
    </w:rPr>
  </w:style>
  <w:style w:type="paragraph" w:styleId="6">
    <w:name w:val="annotation subject"/>
    <w:basedOn w:val="2"/>
    <w:next w:val="2"/>
    <w:link w:val="17"/>
    <w:qFormat/>
    <w:uiPriority w:val="0"/>
    <w:rPr>
      <w:b/>
      <w:bCs/>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563C1" w:themeColor="hyperlink"/>
      <w:u w:val="single"/>
      <w14:textFill>
        <w14:solidFill>
          <w14:schemeClr w14:val="hlink"/>
        </w14:solidFill>
      </w14:textFill>
    </w:rPr>
  </w:style>
  <w:style w:type="character" w:styleId="11">
    <w:name w:val="annotation reference"/>
    <w:basedOn w:val="9"/>
    <w:qFormat/>
    <w:uiPriority w:val="0"/>
    <w:rPr>
      <w:sz w:val="21"/>
      <w:szCs w:val="21"/>
    </w:rPr>
  </w:style>
  <w:style w:type="character" w:customStyle="1" w:styleId="12">
    <w:name w:val="未处理的提及1"/>
    <w:basedOn w:val="9"/>
    <w:semiHidden/>
    <w:unhideWhenUsed/>
    <w:qFormat/>
    <w:uiPriority w:val="99"/>
    <w:rPr>
      <w:color w:val="605E5C"/>
      <w:shd w:val="clear" w:color="auto" w:fill="E1DFDD"/>
    </w:rPr>
  </w:style>
  <w:style w:type="table" w:customStyle="1" w:styleId="13">
    <w:name w:val="网格表 1 浅色 - 着色 51"/>
    <w:basedOn w:val="7"/>
    <w:qFormat/>
    <w:uiPriority w:val="46"/>
    <w:tblPr>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2" w:space="0"/>
        </w:tcBorders>
      </w:tcPr>
    </w:tblStylePr>
    <w:tblStylePr w:type="firstCol">
      <w:rPr>
        <w:b/>
        <w:bCs/>
      </w:rPr>
    </w:tblStylePr>
    <w:tblStylePr w:type="lastCol">
      <w:rPr>
        <w:b/>
        <w:bCs/>
      </w:rPr>
    </w:tblStylePr>
  </w:style>
  <w:style w:type="character" w:customStyle="1" w:styleId="14">
    <w:name w:val="页眉 字符"/>
    <w:basedOn w:val="9"/>
    <w:link w:val="4"/>
    <w:qFormat/>
    <w:uiPriority w:val="0"/>
    <w:rPr>
      <w:kern w:val="2"/>
      <w:sz w:val="18"/>
      <w:szCs w:val="18"/>
    </w:rPr>
  </w:style>
  <w:style w:type="character" w:customStyle="1" w:styleId="15">
    <w:name w:val="页脚 字符"/>
    <w:basedOn w:val="9"/>
    <w:link w:val="3"/>
    <w:qFormat/>
    <w:uiPriority w:val="0"/>
    <w:rPr>
      <w:kern w:val="2"/>
      <w:sz w:val="18"/>
      <w:szCs w:val="18"/>
    </w:rPr>
  </w:style>
  <w:style w:type="character" w:customStyle="1" w:styleId="16">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7">
    <w:name w:val="批注主题 字符"/>
    <w:basedOn w:val="16"/>
    <w:link w:val="6"/>
    <w:qFormat/>
    <w:uiPriority w:val="0"/>
    <w:rPr>
      <w:rFonts w:asciiTheme="minorHAnsi" w:hAnsiTheme="minorHAnsi" w:eastAsiaTheme="minorEastAsia" w:cstheme="minorBidi"/>
      <w:b/>
      <w:bCs/>
      <w:kern w:val="2"/>
      <w:sz w:val="21"/>
      <w:szCs w:val="24"/>
    </w:rPr>
  </w:style>
  <w:style w:type="paragraph" w:customStyle="1" w:styleId="18">
    <w:name w:val="标准文件_段"/>
    <w:link w:val="1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9">
    <w:name w:val="标准文件_段 Char"/>
    <w:link w:val="18"/>
    <w:qFormat/>
    <w:uiPriority w:val="0"/>
    <w:rPr>
      <w:rFonts w:ascii="宋体"/>
      <w:sz w:val="21"/>
    </w:rPr>
  </w:style>
  <w:style w:type="paragraph" w:styleId="20">
    <w:name w:val="List Paragraph"/>
    <w:basedOn w:val="1"/>
    <w:unhideWhenUsed/>
    <w:qFormat/>
    <w:uiPriority w:val="99"/>
    <w:pPr>
      <w:ind w:firstLine="420" w:firstLineChars="200"/>
    </w:pPr>
  </w:style>
  <w:style w:type="paragraph" w:customStyle="1" w:styleId="21">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22">
    <w:name w:val="标准文件_二级无标题"/>
    <w:basedOn w:val="1"/>
    <w:qFormat/>
    <w:uiPriority w:val="0"/>
    <w:pPr>
      <w:numPr>
        <w:ilvl w:val="3"/>
        <w:numId w:val="1"/>
      </w:numPr>
      <w:tabs>
        <w:tab w:val="left" w:pos="1646"/>
      </w:tabs>
    </w:pPr>
    <w:rPr>
      <w:rFonts w:ascii="宋体" w:hAnsi="Times New Roman" w:eastAsia="宋体" w:cs="Times New Roman"/>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9637</Words>
  <Characters>10110</Characters>
  <Lines>189</Lines>
  <Paragraphs>53</Paragraphs>
  <TotalTime>1</TotalTime>
  <ScaleCrop>false</ScaleCrop>
  <LinksUpToDate>false</LinksUpToDate>
  <CharactersWithSpaces>10183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2026-08-29T12:27:00Z</dcterms:created>
  <dc:creator>郭风军</dc:creator>
  <cp:lastModifiedBy>赵佳莉</cp:lastModifiedBy>
  <dcterms:modified xsi:type="dcterms:W3CDTF">2026-09-30T03:38:17Z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B123CBBEE0F44E628D3D5922627E0EB4_13</vt:lpwstr>
  </property>
  <property fmtid="{D5CDD505-2E9C-101B-9397-08002B2CF9AE}" pid="4" name="KSOTemplateDocerSaveRecord">
    <vt:lpwstr>eyJoZGlkIjoiNTU2MzdkMTAwM2Q2ODhiN2FiZmQ4N2RjNWJiNzUwMGMiLCJ1c2VySWQiOiI0NTkwMDgyNjAifQ==</vt:lpwstr>
  </property>
</Properties>
</file>